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0"/>
        <w:ind w:left="0" w:right="0" w:hanging="0"/>
        <w:jc w:val="center"/>
        <w:rPr>
          <w:rFonts w:ascii="Calibri" w:hAnsi="Calibri" w:cs="Calibri" w:asciiTheme="minorHAnsi" w:cstheme="minorHAnsi" w:hAnsiTheme="minorHAnsi"/>
          <w:b/>
          <w:b/>
          <w:color w:val="auto"/>
          <w:szCs w:val="24"/>
        </w:rPr>
      </w:pPr>
      <w:r>
        <w:rPr>
          <w:rFonts w:cs="Calibri" w:cstheme="minorHAnsi"/>
          <w:b/>
          <w:color w:val="auto"/>
          <w:szCs w:val="24"/>
        </w:rPr>
      </w:r>
    </w:p>
    <w:p>
      <w:pPr>
        <w:pStyle w:val="Normal"/>
        <w:spacing w:before="0" w:after="10"/>
        <w:ind w:left="1417" w:right="0" w:hanging="10"/>
        <w:rPr>
          <w:rFonts w:ascii="Calibri" w:hAnsi="Calibri" w:cs="Calibri" w:asciiTheme="minorHAnsi" w:cstheme="minorHAnsi" w:hAnsiTheme="minorHAnsi"/>
          <w:b/>
          <w:b/>
          <w:color w:val="auto"/>
          <w:szCs w:val="24"/>
        </w:rPr>
      </w:pPr>
      <w:r>
        <w:rPr>
          <w:rFonts w:cs="Calibri" w:cstheme="minorHAnsi"/>
          <w:b/>
          <w:color w:val="auto"/>
          <w:szCs w:val="24"/>
        </w:rPr>
      </w:r>
    </w:p>
    <w:p>
      <w:pPr>
        <w:pStyle w:val="Normal"/>
        <w:spacing w:before="0" w:after="10"/>
        <w:ind w:left="0" w:right="0" w:hanging="0"/>
        <w:jc w:val="left"/>
        <w:rPr>
          <w:rFonts w:ascii="Calibri" w:hAnsi="Calibri" w:cs="Calibri" w:asciiTheme="minorHAnsi" w:cstheme="minorHAnsi" w:hAnsiTheme="minorHAnsi"/>
          <w:b/>
          <w:b/>
          <w:color w:val="auto"/>
          <w:szCs w:val="24"/>
        </w:rPr>
      </w:pPr>
      <w:r>
        <w:rPr>
          <w:rFonts w:cs="Calibri" w:cstheme="minorHAnsi"/>
          <w:b/>
          <w:color w:val="auto"/>
          <w:szCs w:val="24"/>
        </w:rPr>
        <w:t xml:space="preserve">I - TERMO DE EXECUÇÃO DESCENTRALIZADA (TED) Nº </w:t>
      </w:r>
      <w:r>
        <w:rPr>
          <w:rFonts w:cs="Calibri" w:cstheme="minorHAnsi"/>
          <w:b/>
          <w:i/>
          <w:color w:val="FF0000"/>
          <w:szCs w:val="24"/>
        </w:rPr>
        <w:t>xx/2023</w:t>
      </w:r>
    </w:p>
    <w:p>
      <w:pPr>
        <w:pStyle w:val="Normal"/>
        <w:spacing w:before="0" w:after="10"/>
        <w:ind w:left="1417" w:right="0" w:hanging="10"/>
        <w:jc w:val="center"/>
        <w:rPr>
          <w:rFonts w:ascii="Calibri" w:hAnsi="Calibri" w:cs="Calibri" w:asciiTheme="minorHAnsi" w:cstheme="minorHAnsi" w:hAnsiTheme="minorHAnsi"/>
          <w:b/>
          <w:b/>
          <w:color w:val="auto"/>
          <w:szCs w:val="24"/>
        </w:rPr>
      </w:pPr>
      <w:r>
        <w:rPr>
          <w:rFonts w:cs="Calibri" w:cstheme="minorHAnsi"/>
          <w:b/>
          <w:color w:val="auto"/>
          <w:szCs w:val="24"/>
        </w:rPr>
      </w:r>
    </w:p>
    <w:tbl>
      <w:tblPr>
        <w:tblStyle w:val="TableGrid"/>
        <w:tblW w:w="9985" w:type="dxa"/>
        <w:jc w:val="left"/>
        <w:tblInd w:w="16" w:type="dxa"/>
        <w:tblLayout w:type="fixed"/>
        <w:tblCellMar>
          <w:top w:w="61" w:type="dxa"/>
          <w:left w:w="5" w:type="dxa"/>
          <w:bottom w:w="0" w:type="dxa"/>
          <w:right w:w="5" w:type="dxa"/>
        </w:tblCellMar>
        <w:tblLook w:firstRow="1" w:noVBand="1" w:lastRow="0" w:firstColumn="1" w:lastColumn="0" w:noHBand="0" w:val="04a0"/>
      </w:tblPr>
      <w:tblGrid>
        <w:gridCol w:w="5220"/>
        <w:gridCol w:w="4254"/>
        <w:gridCol w:w="504"/>
        <w:gridCol w:w="7"/>
      </w:tblGrid>
      <w:tr>
        <w:trPr>
          <w:trHeight w:val="323"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10"/>
              <w:ind w:left="0" w:right="0" w:hanging="10"/>
              <w:jc w:val="center"/>
              <w:rPr>
                <w:rFonts w:ascii="Calibri" w:hAnsi="Calibri" w:cs="Calibri" w:asciiTheme="minorHAnsi" w:cstheme="minorHAnsi" w:hAnsiTheme="minorHAnsi"/>
                <w:b/>
                <w:b/>
                <w:bCs/>
                <w:color w:val="auto"/>
                <w:szCs w:val="24"/>
              </w:rPr>
            </w:pPr>
            <w:r>
              <w:rPr>
                <w:rFonts w:cs="Calibri" w:cstheme="minorHAnsi"/>
                <w:b/>
                <w:bCs/>
                <w:color w:val="auto"/>
                <w:kern w:val="0"/>
                <w:szCs w:val="24"/>
                <w:lang w:val="pt-BR" w:eastAsia="pt-BR" w:bidi="ar-SA"/>
              </w:rPr>
              <w:t>TERMO DE EXECUÇÃO DESCENTRALIZADA (TED)</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10"/>
              <w:ind w:left="0" w:right="0" w:hanging="10"/>
              <w:jc w:val="left"/>
              <w:rPr>
                <w:rFonts w:ascii="Calibri" w:hAnsi="Calibri" w:cs="Calibri" w:asciiTheme="minorHAnsi" w:cstheme="minorHAnsi" w:hAnsiTheme="minorHAnsi"/>
                <w:b/>
                <w:b/>
                <w:bCs/>
                <w:color w:val="auto"/>
                <w:szCs w:val="24"/>
              </w:rPr>
            </w:pPr>
            <w:r>
              <w:rPr>
                <w:rFonts w:cs="Calibri" w:cstheme="minorHAnsi"/>
                <w:b/>
                <w:bCs/>
                <w:color w:val="auto"/>
                <w:kern w:val="0"/>
                <w:szCs w:val="24"/>
                <w:lang w:val="pt-BR" w:eastAsia="pt-BR" w:bidi="ar-SA"/>
              </w:rPr>
              <w:t>1. DADOS CADASTRAIS DA UNIDADE DESCENTRALIZADORA</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suppressAutoHyphens w:val="true"/>
              <w:spacing w:before="0" w:after="0"/>
              <w:ind w:left="494" w:right="0" w:hanging="360"/>
              <w:contextualSpacing/>
              <w:rPr>
                <w:rFonts w:cs="Calibri" w:cstheme="minorHAnsi"/>
                <w:b/>
                <w:b/>
                <w:sz w:val="24"/>
                <w:szCs w:val="24"/>
              </w:rPr>
            </w:pPr>
            <w:r>
              <w:rPr>
                <w:rFonts w:cs="Calibri" w:cstheme="minorHAnsi"/>
                <w:b/>
                <w:kern w:val="0"/>
                <w:sz w:val="24"/>
                <w:szCs w:val="24"/>
                <w:lang w:val="pt-BR" w:bidi="ar-SA"/>
              </w:rPr>
              <w:t>Unidade Descentralizadora e Responsável</w:t>
            </w:r>
          </w:p>
          <w:p>
            <w:pPr>
              <w:pStyle w:val="ListParagraph"/>
              <w:widowControl w:val="false"/>
              <w:suppressAutoHyphens w:val="true"/>
              <w:spacing w:before="0" w:after="0"/>
              <w:ind w:left="134" w:right="0" w:hanging="0"/>
              <w:contextualSpacing/>
              <w:rPr>
                <w:rFonts w:cs="Calibri" w:cstheme="minorHAnsi"/>
                <w:sz w:val="24"/>
                <w:szCs w:val="24"/>
              </w:rPr>
            </w:pPr>
            <w:r>
              <w:rPr>
                <w:rFonts w:cs="Calibri" w:cstheme="minorHAnsi"/>
                <w:kern w:val="0"/>
                <w:sz w:val="24"/>
                <w:szCs w:val="24"/>
                <w:lang w:val="pt-BR" w:bidi="ar-SA"/>
              </w:rPr>
              <w:t xml:space="preserve">Nome do órgão ou entidade descentralizador(a): </w:t>
            </w:r>
            <w:r>
              <w:rPr>
                <w:rFonts w:cs="Calibri"/>
                <w:color w:val="000000"/>
                <w:kern w:val="0"/>
                <w:szCs w:val="22"/>
                <w:lang w:val="pt-BR" w:bidi="ar-SA"/>
              </w:rPr>
              <w:t xml:space="preserve">Ministério </w:t>
            </w:r>
            <w:r>
              <w:rPr>
                <w:rFonts w:eastAsia="Calibri" w:cs="Calibri"/>
                <w:color w:val="000000"/>
                <w:kern w:val="0"/>
                <w:sz w:val="22"/>
                <w:szCs w:val="22"/>
                <w:lang w:val="pt-BR" w:eastAsia="en-US" w:bidi="ar-SA"/>
              </w:rPr>
              <w:t>da Pesca e Aquicultura</w:t>
            </w:r>
            <w:r>
              <w:rPr>
                <w:rFonts w:cs="Calibri"/>
                <w:color w:val="000000"/>
                <w:kern w:val="0"/>
                <w:szCs w:val="22"/>
                <w:lang w:val="pt-BR" w:bidi="ar-SA"/>
              </w:rPr>
              <w:t xml:space="preserve"> – </w:t>
            </w:r>
            <w:r>
              <w:rPr>
                <w:rStyle w:val="Strong"/>
                <w:rFonts w:cs="Calibri"/>
                <w:color w:val="000000"/>
                <w:kern w:val="0"/>
                <w:szCs w:val="22"/>
                <w:lang w:val="pt-BR" w:bidi="ar-SA"/>
              </w:rPr>
              <w:t>CNPJ:</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Nome da autoridade competente: </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Número do CPF: </w:t>
            </w:r>
          </w:p>
          <w:p>
            <w:pPr>
              <w:pStyle w:val="Normal"/>
              <w:widowControl w:val="false"/>
              <w:suppressAutoHyphens w:val="true"/>
              <w:spacing w:before="0" w:after="0"/>
              <w:ind w:left="134" w:right="13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Nome da Secretaria/Departamento/Unidade Responsável pelo acompanhamento da execução do objeto do TED: </w:t>
            </w:r>
          </w:p>
          <w:p>
            <w:pPr>
              <w:pStyle w:val="Normal"/>
              <w:widowControl w:val="false"/>
              <w:suppressAutoHyphens w:val="true"/>
              <w:spacing w:before="0" w:after="0"/>
              <w:ind w:left="134" w:right="13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Identificação do Ato que confere poderes para assinatura: </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szCs w:val="24"/>
                <w:lang w:eastAsia="en-US"/>
              </w:rPr>
            </w:r>
          </w:p>
          <w:p>
            <w:pPr>
              <w:pStyle w:val="ListParagraph"/>
              <w:widowControl w:val="false"/>
              <w:numPr>
                <w:ilvl w:val="0"/>
                <w:numId w:val="1"/>
              </w:numPr>
              <w:suppressAutoHyphens w:val="true"/>
              <w:spacing w:before="0" w:after="0"/>
              <w:ind w:left="494" w:right="0" w:hanging="360"/>
              <w:contextualSpacing/>
              <w:rPr>
                <w:rFonts w:cs="Calibri" w:cstheme="minorHAnsi"/>
                <w:b/>
                <w:b/>
                <w:sz w:val="24"/>
                <w:szCs w:val="24"/>
              </w:rPr>
            </w:pPr>
            <w:r>
              <w:rPr>
                <w:rFonts w:cs="Calibri" w:cstheme="minorHAnsi"/>
                <w:b/>
                <w:kern w:val="0"/>
                <w:sz w:val="24"/>
                <w:szCs w:val="24"/>
                <w:lang w:val="pt-BR" w:bidi="ar-SA"/>
              </w:rPr>
              <w:t>UG SIAFI</w:t>
            </w:r>
          </w:p>
          <w:p>
            <w:pPr>
              <w:pStyle w:val="ListParagraph"/>
              <w:widowControl w:val="false"/>
              <w:suppressAutoHyphens w:val="true"/>
              <w:spacing w:before="0" w:after="0"/>
              <w:ind w:left="135" w:right="0" w:hanging="0"/>
              <w:contextualSpacing/>
              <w:rPr>
                <w:rFonts w:cs="Calibri" w:cstheme="minorHAnsi"/>
                <w:sz w:val="24"/>
                <w:szCs w:val="24"/>
              </w:rPr>
            </w:pPr>
            <w:r>
              <w:rPr>
                <w:rFonts w:cs="Calibri" w:cstheme="minorHAnsi"/>
                <w:kern w:val="0"/>
                <w:sz w:val="24"/>
                <w:szCs w:val="24"/>
                <w:lang w:val="pt-BR" w:bidi="ar-SA"/>
              </w:rPr>
              <w:t xml:space="preserve">Número e Nome da Unidade Gestora - UG que descentralizará o crédito:  </w:t>
            </w:r>
          </w:p>
          <w:p>
            <w:pPr>
              <w:pStyle w:val="Normal"/>
              <w:widowControl w:val="false"/>
              <w:suppressAutoHyphens w:val="true"/>
              <w:spacing w:before="0" w:after="0"/>
              <w:ind w:left="135" w:right="2" w:hanging="0"/>
              <w:rPr>
                <w:rFonts w:cs="Calibri" w:cstheme="minorHAnsi"/>
                <w:i/>
                <w:i/>
                <w:szCs w:val="24"/>
              </w:rPr>
            </w:pPr>
            <w:r>
              <w:rPr>
                <w:rFonts w:cs="Calibri" w:cstheme="minorHAnsi"/>
                <w:i/>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2. DADOS CADASTRAIS DA UNIDADE DESCENTRALIZADA</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suppressAutoHyphens w:val="true"/>
              <w:spacing w:before="0" w:after="0"/>
              <w:ind w:left="494" w:right="0" w:hanging="360"/>
              <w:contextualSpacing/>
              <w:rPr>
                <w:rFonts w:cs="Calibri" w:cstheme="minorHAnsi"/>
                <w:b/>
                <w:b/>
                <w:sz w:val="24"/>
                <w:szCs w:val="24"/>
              </w:rPr>
            </w:pPr>
            <w:r>
              <w:rPr>
                <w:rFonts w:cs="Calibri" w:cstheme="minorHAnsi"/>
                <w:b/>
                <w:kern w:val="0"/>
                <w:sz w:val="24"/>
                <w:szCs w:val="24"/>
                <w:lang w:val="pt-BR" w:bidi="ar-SA"/>
              </w:rPr>
              <w:t>Unidade Descentralizada e Responsável</w:t>
            </w:r>
          </w:p>
          <w:p>
            <w:pPr>
              <w:pStyle w:val="ListParagraph"/>
              <w:widowControl w:val="false"/>
              <w:suppressAutoHyphens w:val="true"/>
              <w:spacing w:before="0" w:after="0"/>
              <w:ind w:left="134" w:right="0" w:hanging="0"/>
              <w:contextualSpacing/>
              <w:rPr>
                <w:rFonts w:cs="Calibri" w:cstheme="minorHAnsi"/>
                <w:sz w:val="24"/>
                <w:szCs w:val="24"/>
              </w:rPr>
            </w:pPr>
            <w:r>
              <w:rPr>
                <w:rFonts w:cs="Calibri" w:cstheme="minorHAnsi"/>
                <w:kern w:val="0"/>
                <w:sz w:val="24"/>
                <w:szCs w:val="24"/>
                <w:lang w:val="pt-BR" w:bidi="ar-SA"/>
              </w:rPr>
              <w:t>Nome do órgão ou entidade descentralizada: UNIVERSIDADE FEDERAL DA GRANDE DOURADOS</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Nome da autoridade competente: </w:t>
            </w:r>
            <w:r>
              <w:rPr>
                <w:rFonts w:eastAsia="Calibri" w:cs="Calibri" w:cstheme="minorHAnsi" w:eastAsiaTheme="minorHAnsi"/>
                <w:color w:val="auto"/>
                <w:kern w:val="0"/>
                <w:sz w:val="24"/>
                <w:szCs w:val="24"/>
                <w:lang w:val="pt-BR" w:eastAsia="en-US" w:bidi="ar-SA"/>
              </w:rPr>
              <w:t>Jones Dari Goettert</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Número do CPF: </w:t>
            </w:r>
            <w:r>
              <w:rPr>
                <w:rFonts w:eastAsia="Calibri" w:cs="Calibri" w:cstheme="minorHAnsi" w:eastAsiaTheme="minorHAnsi"/>
                <w:color w:val="auto"/>
                <w:kern w:val="0"/>
                <w:sz w:val="24"/>
                <w:szCs w:val="24"/>
                <w:lang w:val="pt-BR" w:eastAsia="en-US" w:bidi="ar-SA"/>
              </w:rPr>
              <w:t>543.811.180-49</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Nome da Secretaria/Departamento/Unidade Responsável pela execução do objeto do TED: </w:t>
            </w:r>
            <w:r>
              <w:rPr>
                <w:rFonts w:eastAsia="Calibri" w:cs="Calibri" w:cstheme="minorHAnsi" w:eastAsiaTheme="minorHAnsi"/>
                <w:color w:val="000000"/>
                <w:kern w:val="0"/>
                <w:szCs w:val="24"/>
                <w:shd w:fill="FFFF00" w:val="clear"/>
                <w:lang w:val="pt-BR" w:eastAsia="en-US" w:bidi="ar-SA"/>
              </w:rPr>
              <w:t>PRÓ-REITORIA DE EXTENSÃO E CULTURA - PROEX</w:t>
            </w:r>
          </w:p>
          <w:p>
            <w:pPr>
              <w:pStyle w:val="Normal"/>
              <w:widowControl w:val="false"/>
              <w:suppressAutoHyphens w:val="true"/>
              <w:spacing w:before="0" w:after="0"/>
              <w:ind w:left="134" w:right="13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kern w:val="0"/>
                <w:szCs w:val="24"/>
                <w:lang w:val="pt-BR" w:eastAsia="en-US" w:bidi="ar-SA"/>
              </w:rPr>
              <w:t xml:space="preserve">Identificação do Ato que confere poderes para assinatura: </w:t>
            </w:r>
            <w:r>
              <w:rPr>
                <w:rFonts w:eastAsia="Calibri" w:cs="Calibri" w:cstheme="minorHAnsi" w:eastAsiaTheme="minorHAnsi"/>
                <w:color w:val="auto"/>
                <w:kern w:val="0"/>
                <w:sz w:val="24"/>
                <w:szCs w:val="24"/>
                <w:lang w:val="pt-BR" w:eastAsia="en-US" w:bidi="ar-SA"/>
              </w:rPr>
              <w:t>Diário Oficial da União n° 117, de 23/06/2022, seção 2, página 1; e Estatuto da UFGD.</w:t>
            </w:r>
          </w:p>
          <w:p>
            <w:pPr>
              <w:pStyle w:val="Normal"/>
              <w:widowControl w:val="false"/>
              <w:suppressAutoHyphens w:val="true"/>
              <w:spacing w:before="0" w:after="0"/>
              <w:ind w:left="134" w:right="2" w:hanging="0"/>
              <w:rPr>
                <w:rFonts w:ascii="Calibri" w:hAnsi="Calibri" w:eastAsia="Calibri" w:cs="Calibri" w:asciiTheme="minorHAnsi" w:cstheme="minorHAnsi" w:eastAsiaTheme="minorHAnsi" w:hAnsiTheme="minorHAnsi"/>
                <w:color w:val="auto"/>
                <w:szCs w:val="24"/>
                <w:lang w:eastAsia="en-US"/>
              </w:rPr>
            </w:pPr>
            <w:r>
              <w:rPr>
                <w:rFonts w:eastAsia="Calibri" w:cs="Calibri" w:cstheme="minorHAnsi" w:eastAsiaTheme="minorHAnsi"/>
                <w:color w:val="auto"/>
                <w:szCs w:val="24"/>
                <w:lang w:eastAsia="en-US"/>
              </w:rPr>
            </w:r>
          </w:p>
          <w:p>
            <w:pPr>
              <w:pStyle w:val="ListParagraph"/>
              <w:widowControl w:val="false"/>
              <w:numPr>
                <w:ilvl w:val="0"/>
                <w:numId w:val="2"/>
              </w:numPr>
              <w:suppressAutoHyphens w:val="true"/>
              <w:spacing w:before="0" w:after="0"/>
              <w:ind w:left="494" w:right="0" w:hanging="360"/>
              <w:contextualSpacing/>
              <w:rPr>
                <w:rFonts w:cs="Calibri" w:cstheme="minorHAnsi"/>
                <w:b/>
                <w:b/>
                <w:sz w:val="24"/>
                <w:szCs w:val="24"/>
              </w:rPr>
            </w:pPr>
            <w:r>
              <w:rPr>
                <w:rFonts w:cs="Calibri" w:cstheme="minorHAnsi"/>
                <w:b/>
                <w:kern w:val="0"/>
                <w:sz w:val="24"/>
                <w:szCs w:val="24"/>
                <w:lang w:val="pt-BR" w:bidi="ar-SA"/>
              </w:rPr>
              <w:t>UG SIAFI</w:t>
            </w:r>
          </w:p>
          <w:p>
            <w:pPr>
              <w:pStyle w:val="ListParagraph"/>
              <w:widowControl w:val="false"/>
              <w:suppressAutoHyphens w:val="true"/>
              <w:spacing w:before="0" w:after="0"/>
              <w:ind w:left="135" w:right="0" w:hanging="0"/>
              <w:contextualSpacing/>
              <w:rPr>
                <w:rFonts w:cs="Calibri" w:cstheme="minorHAnsi"/>
                <w:sz w:val="24"/>
                <w:szCs w:val="24"/>
              </w:rPr>
            </w:pPr>
            <w:r>
              <w:rPr>
                <w:rFonts w:cs="Calibri" w:cstheme="minorHAnsi"/>
                <w:kern w:val="0"/>
                <w:sz w:val="24"/>
                <w:szCs w:val="24"/>
                <w:lang w:val="pt-BR" w:bidi="ar-SA"/>
              </w:rPr>
              <w:t xml:space="preserve">Número e Nome da Unidade Gestora - UG que receberá o crédito: </w:t>
            </w:r>
            <w:r>
              <w:rPr>
                <w:rFonts w:eastAsia="Calibri" w:cs="Calibri" w:cstheme="minorHAnsi"/>
                <w:kern w:val="0"/>
                <w:sz w:val="24"/>
                <w:szCs w:val="24"/>
                <w:lang w:val="pt-BR" w:bidi="ar-SA"/>
              </w:rPr>
              <w:t>26350 – Universidade Federal da Grande Dourados.</w:t>
            </w:r>
          </w:p>
          <w:p>
            <w:pPr>
              <w:pStyle w:val="Normal"/>
              <w:widowControl w:val="false"/>
              <w:suppressAutoHyphens w:val="true"/>
              <w:spacing w:before="0" w:after="0"/>
              <w:ind w:left="112" w:right="2" w:hanging="0"/>
              <w:rPr>
                <w:rFonts w:cs="Calibri" w:cstheme="minorHAnsi"/>
                <w:szCs w:val="24"/>
              </w:rPr>
            </w:pPr>
            <w:r>
              <w:rPr>
                <w:rFonts w:cs="Calibri" w:cstheme="minorHAnsi"/>
                <w:kern w:val="0"/>
                <w:szCs w:val="24"/>
                <w:lang w:val="pt-BR" w:eastAsia="pt-BR" w:bidi="ar-SA"/>
              </w:rPr>
              <w:t>Número e Nome da Unidade Gestora - UG Responsável pela execução do objeto do TED: 26350 – Universidade Federal da Grande Dourados</w:t>
            </w:r>
          </w:p>
          <w:p>
            <w:pPr>
              <w:pStyle w:val="Normal"/>
              <w:widowControl w:val="false"/>
              <w:suppressAutoHyphens w:val="true"/>
              <w:spacing w:before="0" w:after="0"/>
              <w:ind w:left="112" w:right="2" w:hanging="0"/>
              <w:rPr>
                <w:rFonts w:cs="Calibri" w:cstheme="minorHAnsi"/>
                <w:i/>
                <w:i/>
                <w:szCs w:val="24"/>
              </w:rPr>
            </w:pPr>
            <w:r>
              <w:rPr>
                <w:rFonts w:cs="Calibri" w:cstheme="minorHAnsi"/>
                <w:i/>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 xml:space="preserve">3. OBJETO DO TERMO DE EXECUÇÃO DESCENTRALIZADA: </w:t>
            </w:r>
          </w:p>
          <w:p>
            <w:pPr>
              <w:pStyle w:val="Normal"/>
              <w:widowControl w:val="false"/>
              <w:suppressAutoHyphens w:val="true"/>
              <w:spacing w:before="0" w:after="0"/>
              <w:ind w:left="112" w:right="2" w:hanging="10"/>
              <w:rPr>
                <w:rFonts w:cs="Calibri" w:cstheme="minorHAnsi"/>
                <w:iCs/>
                <w:szCs w:val="24"/>
                <w:shd w:fill="FFFF00" w:val="clear"/>
              </w:rPr>
            </w:pPr>
            <w:r>
              <w:rPr>
                <w:rFonts w:cs="Calibri" w:cstheme="minorHAnsi"/>
                <w:iCs/>
                <w:kern w:val="0"/>
                <w:szCs w:val="24"/>
                <w:shd w:fill="FFFF00" w:val="clear"/>
                <w:lang w:val="pt-BR" w:eastAsia="pt-BR" w:bidi="ar-SA"/>
              </w:rPr>
              <w:t>xxxx</w:t>
            </w:r>
          </w:p>
          <w:p>
            <w:pPr>
              <w:pStyle w:val="Normal"/>
              <w:widowControl w:val="false"/>
              <w:suppressAutoHyphens w:val="true"/>
              <w:spacing w:before="0" w:after="0"/>
              <w:ind w:left="112" w:right="2" w:hanging="10"/>
              <w:rPr>
                <w:rFonts w:cs="Calibri" w:cstheme="minorHAnsi"/>
                <w:iCs/>
                <w:szCs w:val="24"/>
              </w:rPr>
            </w:pPr>
            <w:r>
              <w:rPr>
                <w:rFonts w:cs="Calibri" w:cstheme="minorHAnsi"/>
                <w:iCs/>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 xml:space="preserve">4. OBRIGAÇÕES E COMPETÊNCIAS DOS PARTÍCIPES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4.1. Unidade Descentralizadora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59"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 - analisar e aprovar a descentralização de créditos;</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II - analisar, aprovar e acompanhar a execução do Plano de Trabalho;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III - descentralizar os créditos orçamentários;</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IV - repassar os recursos financeiros em conformidade com o cronograma de desembolso;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 - aprovar a prorrogação da vigência do TED ou realizar sua prorrogação, de ofício, quando necessário;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VI - aprovar as alterações no TED;</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VII - solicitar Relatórios parciais de Cumprimento do Objeto ou outros documentos necessários à comprovação da execução do objeto, quando necessário;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VIII - analisar e manifestar-se sobre o Relatório de Cumprimento do Objeto apresentado pela Unidade Descentralizada;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IX - solicitar à Unidade Descentralizada que instaure a tomada de contas especial, ou promover diretamente a instauração, quando cabível;</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X - emitir certificado de disponibilidade orçamentária;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XI - registrar no SIAFI o TED e os aditivos, mantendo atualizada a execução até a conclusão;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XII - prorrogar de ofício a vigência do TED quando ocorrer atraso na liberação de recursos, limitado ao prazo do atraso;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XIII - publicar os extratos do TED e termos aditivos no sítio eletrônico oficial, bem como disponibilizar a íntegra do TED celebrado e do Plano de Trabalho atualizado, no prazo de vinte dias, contado da data da assinatura; e</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XIV - designar os agentes públicos federais que atuarão como gestores titulares e suplentes do TED, no prazo de vinte dias, contado da data da celebração do TED, devendo o ato de designação ser publicado no sítio eletrônico oficial.</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XV - instaurar tomada de contas especial, quando cabível e a unidade descentralizada não o tenha feito no prazo para tanto.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XVI - suspender as descentralizações, na hipótese de verificação de indícios de irregularidades durante a execução do TED, com a tomada das providências previstas no art. 19 do Decreto nº 10.426/2020.</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418"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274"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4.2. Unidade Descentralizada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19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 - elaborar e apresentar o Plano de Trabalho;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II - apresentar a Declaração de Capacidade Técnica necessária à execução do objeto;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III - apresentar a Declaração de Compatibilidade de Custos;</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IV - executar os créditos orçamentários descentralizados e os recursos financeiros recebidos;</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 - aprovar as alterações no TED;</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VI - encaminhar à Unidade Descentralizadora:</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   </w:t>
            </w:r>
            <w:r>
              <w:rPr>
                <w:rFonts w:cs="Calibri" w:cstheme="minorHAnsi"/>
                <w:color w:val="auto"/>
                <w:kern w:val="0"/>
                <w:szCs w:val="24"/>
                <w:lang w:val="pt-BR" w:eastAsia="pt-BR" w:bidi="ar-SA"/>
              </w:rPr>
              <w:t>a) Relatórios parciais de Cumprimento do Objeto, quando solicitado; e</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   </w:t>
            </w:r>
            <w:r>
              <w:rPr>
                <w:rFonts w:cs="Calibri" w:cstheme="minorHAnsi"/>
                <w:color w:val="auto"/>
                <w:kern w:val="0"/>
                <w:szCs w:val="24"/>
                <w:lang w:val="pt-BR" w:eastAsia="pt-BR" w:bidi="ar-SA"/>
              </w:rPr>
              <w:t>b) o Relatório final de Cumprimento do Objeto;</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VII - zelar pela aplicação regular dos recursos recebidos e assegurar a conformidade dos documentos, das informações e dos demonstrativos de natureza contábil, financeira, orçamentária e operacional;</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VIII - citar a Unidade Descentralizadora quando divulgar dados, resultados e publicações referentes ao objeto do TED, quando necessário;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IX - instaurar tomada de contas especial, quando necessário, e dar conhecimento dos fatos à Unidade Descentralizadora;</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shd w:fill="FFFFFF" w:val="clear"/>
              </w:rPr>
            </w:pPr>
            <w:r>
              <w:rPr>
                <w:rFonts w:cs="Calibri" w:cstheme="minorHAnsi"/>
                <w:color w:val="auto"/>
                <w:kern w:val="0"/>
                <w:szCs w:val="24"/>
                <w:lang w:val="pt-BR" w:eastAsia="pt-BR" w:bidi="ar-SA"/>
              </w:rPr>
              <w:t xml:space="preserve">X- </w:t>
            </w:r>
            <w:r>
              <w:rPr>
                <w:rFonts w:cs="Calibri" w:cstheme="minorHAnsi"/>
                <w:kern w:val="0"/>
                <w:szCs w:val="24"/>
                <w:shd w:fill="FFFFFF" w:val="clear"/>
                <w:lang w:val="pt-BR" w:eastAsia="pt-BR" w:bidi="ar-SA"/>
              </w:rPr>
              <w:t xml:space="preserve">devolver à Unidade Descentralizadora os saldos dos créditos orçamentários descentralizados e não empenhados e os recursos financeiros não utilizados, conforme disposto no § 1º do art. 7º do Decreto nº 10.426, </w:t>
            </w:r>
            <w:r>
              <w:rPr>
                <w:rFonts w:cs="Calibri" w:cstheme="minorHAnsi"/>
                <w:bCs/>
                <w:color w:val="auto"/>
                <w:kern w:val="0"/>
                <w:szCs w:val="24"/>
                <w:lang w:val="pt-BR" w:eastAsia="pt-BR" w:bidi="ar-SA"/>
              </w:rPr>
              <w:t>de 16 de julho de 2020</w:t>
            </w:r>
            <w:r>
              <w:rPr>
                <w:rFonts w:cs="Calibri" w:cstheme="minorHAnsi"/>
                <w:kern w:val="0"/>
                <w:szCs w:val="24"/>
                <w:shd w:fill="FFFFFF" w:val="clear"/>
                <w:lang w:val="pt-BR" w:eastAsia="pt-BR" w:bidi="ar-SA"/>
              </w:rPr>
              <w:t xml:space="preserve">; </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XI - devolver os créditos orçamentários e os recursos financeiros após o encerramento do TED ou da conclusão da execução do objeto, conforme disposto no § 2º do art. 7º do Decreto nº 10.426, de 2020;</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XII - disponibilizar no sítio eletrônico oficial a íntegra do TED celebrado e do Plano de Trabalho atualizado, no prazo de vinte dias, contado da data da assinatura;</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shd w:fill="FFFFFF" w:val="clear"/>
              </w:rPr>
            </w:pPr>
            <w:r>
              <w:rPr>
                <w:rFonts w:cs="Calibri" w:cstheme="minorHAnsi"/>
                <w:color w:val="auto"/>
                <w:kern w:val="0"/>
                <w:szCs w:val="24"/>
                <w:lang w:val="pt-BR" w:eastAsia="pt-BR" w:bidi="ar-SA"/>
              </w:rPr>
              <w:t xml:space="preserve">XIII </w:t>
            </w:r>
            <w:r>
              <w:rPr>
                <w:rFonts w:cs="Calibri" w:cstheme="minorHAnsi"/>
                <w:kern w:val="0"/>
                <w:szCs w:val="24"/>
                <w:shd w:fill="FFFFFF" w:val="clear"/>
                <w:lang w:val="pt-BR" w:eastAsia="pt-BR" w:bidi="ar-SA"/>
              </w:rPr>
              <w:t>- devolver para a Unidade Descentralizadora os rendimentos de aplicação financeira auferidos em parcerias celebradas com recursos do TED, nas hipóteses de restituição previstas na legislação específica; e</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shd w:fill="FFFFFF" w:val="clear"/>
              </w:rPr>
            </w:pPr>
            <w:r>
              <w:rPr>
                <w:rFonts w:cs="Calibri" w:cstheme="minorHAnsi"/>
                <w:kern w:val="0"/>
                <w:szCs w:val="24"/>
                <w:shd w:fill="FFFFFF" w:val="clear"/>
                <w:lang w:val="pt-BR" w:eastAsia="pt-BR" w:bidi="ar-SA"/>
              </w:rPr>
              <w:t>XIV - designar os agentes públicos federais que atuarão como gestores titulares e suplentes do TED, no prazo de vinte dias, contado da data da celebração do TED, devendo o ato de designação ser publicado no sítio eletrônico oficial.</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shd w:fill="FFFFFF" w:val="clear"/>
              </w:rPr>
            </w:pPr>
            <w:r>
              <w:rPr>
                <w:rFonts w:cs="Calibri" w:cstheme="minorHAnsi"/>
                <w:kern w:val="0"/>
                <w:szCs w:val="24"/>
                <w:shd w:fill="FFFFFF" w:val="clear"/>
                <w:lang w:val="pt-BR" w:eastAsia="pt-BR" w:bidi="ar-SA"/>
              </w:rPr>
              <w:t>XV - disponibilizar, mediante solicitação, documentos comprobatórios da aplicação regular dos recursos aos órgãos de controle e à unidade descentralizadora</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17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bCs/>
                <w:color w:val="auto"/>
                <w:szCs w:val="24"/>
              </w:rPr>
            </w:pPr>
            <w:r>
              <w:rPr>
                <w:rFonts w:cs="Calibri" w:cstheme="minorHAnsi"/>
                <w:b/>
                <w:bCs/>
                <w:color w:val="auto"/>
                <w:kern w:val="0"/>
                <w:szCs w:val="24"/>
                <w:lang w:val="pt-BR" w:eastAsia="pt-BR" w:bidi="ar-SA"/>
              </w:rPr>
              <w:t>5. VIGÊNCIA</w:t>
            </w:r>
          </w:p>
          <w:p>
            <w:pPr>
              <w:pStyle w:val="Normal"/>
              <w:widowControl w:val="false"/>
              <w:suppressAutoHyphens w:val="true"/>
              <w:spacing w:before="0" w:after="0"/>
              <w:ind w:left="134" w:right="274" w:hanging="0"/>
              <w:rPr>
                <w:rFonts w:ascii="Calibri" w:hAnsi="Calibri" w:cs="Calibri" w:asciiTheme="minorHAnsi" w:cstheme="minorHAnsi" w:hAnsiTheme="minorHAnsi"/>
                <w:color w:val="auto"/>
                <w:szCs w:val="24"/>
              </w:rPr>
            </w:pPr>
            <w:r>
              <w:rPr>
                <w:rFonts w:cs="Calibri" w:cstheme="minorHAnsi"/>
                <w:bCs/>
                <w:color w:val="auto"/>
                <w:kern w:val="0"/>
                <w:szCs w:val="24"/>
                <w:lang w:val="pt-BR" w:eastAsia="pt-BR" w:bidi="ar-SA"/>
              </w:rPr>
              <w:t xml:space="preserve">O prazo de vigência deste Termo de Execução Descentralizada será de </w:t>
            </w:r>
            <w:r>
              <w:rPr>
                <w:rFonts w:cs="Calibri" w:cstheme="minorHAnsi"/>
                <w:bCs/>
                <w:iCs/>
                <w:color w:val="000000"/>
                <w:kern w:val="0"/>
                <w:szCs w:val="24"/>
                <w:shd w:fill="FFFF00" w:val="clear"/>
                <w:lang w:val="pt-BR" w:eastAsia="pt-BR" w:bidi="ar-SA"/>
              </w:rPr>
              <w:t>12 (doze)</w:t>
            </w:r>
            <w:r>
              <w:rPr>
                <w:rFonts w:cs="Calibri" w:cstheme="minorHAnsi"/>
                <w:bCs/>
                <w:color w:val="000000"/>
                <w:kern w:val="0"/>
                <w:szCs w:val="24"/>
                <w:shd w:fill="FFFF00" w:val="clear"/>
                <w:lang w:val="pt-BR" w:eastAsia="pt-BR" w:bidi="ar-SA"/>
              </w:rPr>
              <w:t xml:space="preserve"> meses</w:t>
            </w:r>
            <w:r>
              <w:rPr>
                <w:rFonts w:cs="Calibri" w:cstheme="minorHAnsi"/>
                <w:bCs/>
                <w:color w:val="auto"/>
                <w:kern w:val="0"/>
                <w:szCs w:val="24"/>
                <w:lang w:val="pt-BR" w:eastAsia="pt-BR" w:bidi="ar-SA"/>
              </w:rPr>
              <w:t xml:space="preserve">, contados a partir da data de sua assinatura, podendo ser prorrogado de acordo com o disposto no art. 10 do </w:t>
            </w:r>
            <w:r>
              <w:rPr>
                <w:rFonts w:cs="Calibri" w:cstheme="minorHAnsi"/>
                <w:color w:val="auto"/>
                <w:kern w:val="0"/>
                <w:szCs w:val="24"/>
                <w:lang w:val="pt-BR" w:eastAsia="pt-BR" w:bidi="ar-SA"/>
              </w:rPr>
              <w:t>Decreto nº 10.426, de 2020.</w:t>
            </w:r>
          </w:p>
          <w:p>
            <w:pPr>
              <w:pStyle w:val="Normal"/>
              <w:widowControl w:val="false"/>
              <w:suppressAutoHyphens w:val="true"/>
              <w:spacing w:lineRule="auto" w:line="259" w:before="0" w:after="0"/>
              <w:ind w:left="134" w:right="274" w:hanging="0"/>
              <w:rPr>
                <w:rFonts w:ascii="Calibri" w:hAnsi="Calibri" w:cs="Calibri" w:asciiTheme="minorHAnsi" w:cstheme="minorHAnsi" w:hAnsiTheme="minorHAnsi"/>
                <w:bCs/>
                <w:color w:val="auto"/>
                <w:sz w:val="12"/>
                <w:szCs w:val="12"/>
              </w:rPr>
            </w:pPr>
            <w:r>
              <w:rPr>
                <w:rFonts w:cs="Calibri" w:cstheme="minorHAnsi"/>
                <w:bCs/>
                <w:color w:val="auto"/>
                <w:sz w:val="12"/>
                <w:szCs w:val="12"/>
              </w:rPr>
            </w:r>
          </w:p>
          <w:p>
            <w:pPr>
              <w:pStyle w:val="Normal"/>
              <w:widowControl w:val="false"/>
              <w:suppressAutoHyphens w:val="true"/>
              <w:spacing w:lineRule="auto" w:line="259" w:before="0" w:after="0"/>
              <w:ind w:left="259" w:right="0" w:hanging="142"/>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Início: </w:t>
            </w:r>
            <w:r>
              <w:rPr>
                <w:rFonts w:eastAsia="Calibri" w:cs="Calibri" w:cstheme="minorHAnsi"/>
                <w:b/>
                <w:bCs/>
                <w:color w:val="000000"/>
                <w:kern w:val="0"/>
                <w:sz w:val="24"/>
                <w:szCs w:val="24"/>
                <w:shd w:fill="FFFF00" w:val="clear"/>
                <w:lang w:val="pt-BR" w:eastAsia="pt-BR" w:bidi="ar-SA"/>
              </w:rPr>
              <w:t>xxxx</w:t>
            </w:r>
            <w:r>
              <w:rPr>
                <w:rFonts w:cs="Calibri" w:cstheme="minorHAnsi"/>
                <w:b/>
                <w:color w:val="auto"/>
                <w:kern w:val="0"/>
                <w:szCs w:val="24"/>
                <w:lang w:val="pt-BR" w:eastAsia="pt-BR" w:bidi="ar-SA"/>
              </w:rPr>
              <w:t xml:space="preserve">  Fim:</w:t>
            </w:r>
            <w:r>
              <w:rPr>
                <w:rFonts w:cs="Calibri" w:cstheme="minorHAnsi"/>
                <w:color w:val="auto"/>
                <w:kern w:val="0"/>
                <w:szCs w:val="24"/>
                <w:lang w:val="pt-BR" w:eastAsia="pt-BR" w:bidi="ar-SA"/>
              </w:rPr>
              <w:t xml:space="preserve"> </w:t>
            </w:r>
            <w:r>
              <w:rPr>
                <w:rFonts w:eastAsia="Calibri" w:cs="Calibri" w:cstheme="minorHAnsi"/>
                <w:b/>
                <w:bCs/>
                <w:color w:val="000000"/>
                <w:kern w:val="0"/>
                <w:sz w:val="24"/>
                <w:szCs w:val="24"/>
                <w:shd w:fill="FFFF00" w:val="clear"/>
                <w:lang w:val="pt-BR" w:eastAsia="pt-BR" w:bidi="ar-SA"/>
              </w:rPr>
              <w:t>xxxx</w:t>
            </w:r>
          </w:p>
          <w:p>
            <w:pPr>
              <w:pStyle w:val="Normal"/>
              <w:widowControl w:val="false"/>
              <w:suppressAutoHyphens w:val="true"/>
              <w:spacing w:lineRule="auto" w:line="259" w:before="0" w:after="0"/>
              <w:ind w:left="0" w:right="0" w:hanging="0"/>
              <w:jc w:val="left"/>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6.</w:t>
            </w:r>
            <w:r>
              <w:rPr>
                <w:rFonts w:cs="Calibri" w:cstheme="minorHAnsi"/>
                <w:color w:val="auto"/>
                <w:kern w:val="0"/>
                <w:szCs w:val="24"/>
                <w:lang w:val="pt-BR" w:eastAsia="pt-BR" w:bidi="ar-SA"/>
              </w:rPr>
              <w:t xml:space="preserve"> </w:t>
            </w:r>
            <w:r>
              <w:rPr>
                <w:rFonts w:cs="Calibri" w:cstheme="minorHAnsi"/>
                <w:b/>
                <w:color w:val="auto"/>
                <w:kern w:val="0"/>
                <w:szCs w:val="24"/>
                <w:lang w:val="pt-BR" w:eastAsia="pt-BR" w:bidi="ar-SA"/>
              </w:rPr>
              <w:t>VALOR DO TED:</w:t>
            </w:r>
            <w:r>
              <w:rPr>
                <w:rFonts w:cs="Calibri" w:cstheme="minorHAnsi"/>
                <w:color w:val="auto"/>
                <w:kern w:val="0"/>
                <w:szCs w:val="24"/>
                <w:lang w:val="pt-BR" w:eastAsia="pt-BR" w:bidi="ar-SA"/>
              </w:rPr>
              <w:t xml:space="preserve"> R</w:t>
            </w:r>
            <w:r>
              <w:rPr>
                <w:rFonts w:eastAsia="Calibri" w:cs="Calibri" w:cstheme="minorHAnsi"/>
                <w:color w:val="auto"/>
                <w:kern w:val="0"/>
                <w:sz w:val="24"/>
                <w:szCs w:val="24"/>
                <w:lang w:val="pt-BR" w:eastAsia="pt-BR" w:bidi="ar-SA"/>
              </w:rPr>
              <w:t>$ 1.308.470,00</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7. CLASSIFICAÇÃO FUNCIONAL PROGRAMÁTICA:</w:t>
            </w:r>
          </w:p>
          <w:p>
            <w:pPr>
              <w:pStyle w:val="Normal"/>
              <w:widowControl w:val="false"/>
              <w:suppressAutoHyphens w:val="true"/>
              <w:spacing w:lineRule="auto" w:line="259" w:before="0" w:after="0"/>
              <w:ind w:left="134" w:right="0" w:hanging="0"/>
              <w:jc w:val="left"/>
              <w:rPr>
                <w:color w:val="auto"/>
                <w:szCs w:val="24"/>
              </w:rPr>
            </w:pPr>
            <w:r>
              <w:rPr>
                <w:color w:val="auto"/>
                <w:kern w:val="0"/>
                <w:szCs w:val="24"/>
                <w:lang w:val="pt-BR" w:eastAsia="pt-BR" w:bidi="ar-SA"/>
              </w:rPr>
              <w:t xml:space="preserve">Nome do Programa: </w:t>
            </w:r>
          </w:p>
          <w:p>
            <w:pPr>
              <w:pStyle w:val="Normal"/>
              <w:widowControl w:val="false"/>
              <w:suppressAutoHyphens w:val="true"/>
              <w:spacing w:lineRule="auto" w:line="259" w:before="0" w:after="0"/>
              <w:ind w:left="134" w:right="0" w:hanging="0"/>
              <w:jc w:val="left"/>
              <w:rPr>
                <w:color w:val="auto"/>
                <w:szCs w:val="24"/>
              </w:rPr>
            </w:pPr>
            <w:r>
              <w:rPr>
                <w:color w:val="auto"/>
                <w:kern w:val="0"/>
                <w:szCs w:val="24"/>
                <w:lang w:val="pt-BR" w:eastAsia="pt-BR" w:bidi="ar-SA"/>
              </w:rPr>
              <w:t xml:space="preserve">Nome Institucional do Programa: </w:t>
            </w:r>
          </w:p>
          <w:p>
            <w:pPr>
              <w:pStyle w:val="Normal"/>
              <w:widowControl w:val="false"/>
              <w:suppressAutoHyphens w:val="true"/>
              <w:spacing w:lineRule="auto" w:line="259" w:before="0" w:after="0"/>
              <w:ind w:left="134" w:right="0" w:hanging="0"/>
              <w:jc w:val="left"/>
              <w:rPr>
                <w:color w:val="auto"/>
                <w:szCs w:val="24"/>
              </w:rPr>
            </w:pPr>
            <w:r>
              <w:rPr>
                <w:color w:val="auto"/>
                <w:kern w:val="0"/>
                <w:szCs w:val="24"/>
                <w:lang w:val="pt-BR" w:eastAsia="pt-BR" w:bidi="ar-SA"/>
              </w:rPr>
              <w:t xml:space="preserve">Subtítulo: </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3"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8. BENS REMANESCENTES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909" w:hRule="atLeast"/>
        </w:trPr>
        <w:tc>
          <w:tcPr>
            <w:tcW w:w="9474" w:type="dxa"/>
            <w:gridSpan w:val="2"/>
            <w:tcBorders>
              <w:top w:val="single" w:sz="4" w:space="0" w:color="000000"/>
              <w:left w:val="single" w:sz="4" w:space="0" w:color="000000"/>
              <w:bottom w:val="single" w:sz="4" w:space="0" w:color="000000"/>
            </w:tcBorders>
          </w:tcPr>
          <w:p>
            <w:pPr>
              <w:pStyle w:val="Normal"/>
              <w:widowControl w:val="false"/>
              <w:suppressAutoHyphens w:val="true"/>
              <w:spacing w:lineRule="auto" w:line="259" w:before="0" w:after="0"/>
              <w:ind w:left="134" w:right="19"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O Objeto do Termo de Execução Descentralizada contempla a aquisição, produção ou construção de bens?</w:t>
            </w:r>
          </w:p>
          <w:p>
            <w:pPr>
              <w:pStyle w:val="Normal"/>
              <w:widowControl w:val="false"/>
              <w:suppressAutoHyphens w:val="true"/>
              <w:spacing w:lineRule="auto" w:line="259" w:before="0" w:after="0"/>
              <w:ind w:left="134" w:right="19" w:hanging="0"/>
              <w:rPr>
                <w:rFonts w:cs="Calibri" w:cstheme="minorHAnsi"/>
                <w:color w:val="auto"/>
                <w:szCs w:val="24"/>
                <w:shd w:fill="FFFF00" w:val="clear"/>
              </w:rPr>
            </w:pPr>
            <w:r>
              <w:rPr>
                <w:rFonts w:cs="Calibri" w:cstheme="minorHAnsi"/>
                <w:color w:val="000000"/>
                <w:kern w:val="0"/>
                <w:szCs w:val="24"/>
                <w:shd w:fill="FFFF00" w:val="clear"/>
                <w:lang w:val="pt-BR" w:eastAsia="pt-BR" w:bidi="ar-SA"/>
              </w:rPr>
              <w:t>(    )Sim</w:t>
            </w:r>
          </w:p>
          <w:p>
            <w:pPr>
              <w:pStyle w:val="Normal"/>
              <w:widowControl w:val="false"/>
              <w:suppressAutoHyphens w:val="true"/>
              <w:spacing w:lineRule="auto" w:line="259" w:before="0" w:after="0"/>
              <w:ind w:left="117" w:right="19" w:hanging="0"/>
              <w:rPr>
                <w:rFonts w:cs="Calibri" w:cstheme="minorHAnsi"/>
                <w:color w:val="auto"/>
                <w:szCs w:val="24"/>
                <w:shd w:fill="FFFF00" w:val="clear"/>
              </w:rPr>
            </w:pPr>
            <w:r>
              <w:rPr>
                <w:rFonts w:cs="Calibri" w:cstheme="minorHAnsi"/>
                <w:color w:val="000000"/>
                <w:kern w:val="0"/>
                <w:szCs w:val="24"/>
                <w:shd w:fill="FFFF00" w:val="clear"/>
                <w:lang w:val="pt-BR" w:eastAsia="pt-BR" w:bidi="ar-SA"/>
              </w:rPr>
              <w:t>(    )Não</w:t>
            </w:r>
          </w:p>
          <w:p>
            <w:pPr>
              <w:pStyle w:val="Normal"/>
              <w:widowControl w:val="false"/>
              <w:suppressAutoHyphens w:val="true"/>
              <w:spacing w:lineRule="auto" w:line="259" w:before="0" w:after="0"/>
              <w:ind w:left="0" w:right="19" w:hanging="0"/>
              <w:rPr>
                <w:rFonts w:ascii="Calibri" w:hAnsi="Calibri" w:cs="Calibri" w:asciiTheme="minorHAnsi" w:cstheme="minorHAnsi" w:hAnsiTheme="minorHAnsi"/>
                <w:color w:val="auto"/>
                <w:szCs w:val="24"/>
              </w:rPr>
            </w:pPr>
            <w:r>
              <w:rPr>
                <w:rFonts w:cs="Calibri" w:cstheme="minorHAnsi"/>
                <w:color w:val="auto"/>
                <w:szCs w:val="24"/>
              </w:rPr>
            </w:r>
          </w:p>
        </w:tc>
        <w:tc>
          <w:tcPr>
            <w:tcW w:w="511" w:type="dxa"/>
            <w:gridSpan w:val="2"/>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highlight w:val="yellow"/>
              </w:rPr>
            </w:pPr>
            <w:r>
              <w:rPr>
                <w:rFonts w:cs="Calibri" w:cstheme="minorHAnsi"/>
                <w:color w:val="auto"/>
                <w:kern w:val="0"/>
                <w:szCs w:val="24"/>
                <w:highlight w:val="yellow"/>
                <w:lang w:val="pt-BR" w:eastAsia="pt-BR" w:bidi="ar-SA"/>
              </w:rPr>
              <w:t xml:space="preserve"> </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highlight w:val="yellow"/>
              </w:rPr>
            </w:pPr>
            <w:r>
              <w:rPr>
                <w:rFonts w:cs="Calibri" w:cstheme="minorHAnsi"/>
                <w:color w:val="auto"/>
                <w:kern w:val="0"/>
                <w:szCs w:val="24"/>
                <w:highlight w:val="yellow"/>
                <w:lang w:val="pt-BR" w:eastAsia="pt-BR" w:bidi="ar-SA"/>
              </w:rPr>
              <w:t xml:space="preserve"> </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highlight w:val="yellow"/>
              </w:rPr>
            </w:pPr>
            <w:r>
              <w:rPr>
                <w:rFonts w:cs="Calibri" w:cstheme="minorHAnsi"/>
                <w:color w:val="auto"/>
                <w:szCs w:val="24"/>
                <w:highlight w:val="yellow"/>
              </w:rPr>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szCs w:val="24"/>
              </w:rPr>
            </w:r>
          </w:p>
        </w:tc>
      </w:tr>
      <w:tr>
        <w:trPr>
          <w:trHeight w:val="375" w:hRule="atLeast"/>
        </w:trPr>
        <w:tc>
          <w:tcPr>
            <w:tcW w:w="9474" w:type="dxa"/>
            <w:gridSpan w:val="2"/>
            <w:tcBorders>
              <w:top w:val="single" w:sz="4" w:space="0" w:color="000000"/>
              <w:left w:val="single" w:sz="4" w:space="0" w:color="000000"/>
              <w:bottom w:val="single" w:sz="4" w:space="0" w:color="000000"/>
            </w:tcBorders>
          </w:tcPr>
          <w:p>
            <w:pPr>
              <w:pStyle w:val="Normal"/>
              <w:widowControl w:val="false"/>
              <w:suppressAutoHyphens w:val="true"/>
              <w:spacing w:lineRule="auto" w:line="259" w:before="0" w:after="0"/>
              <w:ind w:left="134" w:right="19" w:hanging="0"/>
              <w:rPr>
                <w:rFonts w:ascii="Calibri" w:hAnsi="Calibri" w:cs="Calibri" w:asciiTheme="minorHAnsi" w:cstheme="minorHAnsi" w:hAnsiTheme="minorHAnsi"/>
                <w:b/>
                <w:b/>
                <w:bCs/>
                <w:color w:val="auto"/>
                <w:szCs w:val="24"/>
              </w:rPr>
            </w:pPr>
            <w:r>
              <w:rPr>
                <w:rFonts w:cs="Calibri" w:cstheme="minorHAnsi"/>
                <w:b/>
                <w:bCs/>
                <w:color w:val="auto"/>
                <w:kern w:val="0"/>
                <w:szCs w:val="24"/>
                <w:lang w:val="pt-BR" w:eastAsia="pt-BR" w:bidi="ar-SA"/>
              </w:rPr>
              <w:t>9. DAS ALTERAÇÕES</w:t>
            </w:r>
          </w:p>
        </w:tc>
        <w:tc>
          <w:tcPr>
            <w:tcW w:w="511" w:type="dxa"/>
            <w:gridSpan w:val="2"/>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highlight w:val="yellow"/>
              </w:rPr>
            </w:pPr>
            <w:r>
              <w:rPr>
                <w:rFonts w:cs="Calibri" w:cstheme="minorHAnsi"/>
                <w:color w:val="auto"/>
                <w:szCs w:val="24"/>
                <w:highlight w:val="yellow"/>
              </w:rPr>
            </w:r>
          </w:p>
        </w:tc>
      </w:tr>
      <w:tr>
        <w:trPr>
          <w:trHeight w:val="909" w:hRule="atLeast"/>
        </w:trPr>
        <w:tc>
          <w:tcPr>
            <w:tcW w:w="998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83"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Ficam os partícipes facultados a alterar o presente Termo de Execução Descentralizada ou o respectivo Plano de Trabalho, mediante termo aditivo, vedada a alteração do objeto do objeto aprovado.</w:t>
            </w:r>
          </w:p>
          <w:p>
            <w:pPr>
              <w:pStyle w:val="Normal"/>
              <w:widowControl w:val="false"/>
              <w:suppressAutoHyphens w:val="true"/>
              <w:spacing w:lineRule="auto" w:line="259" w:before="0" w:after="0"/>
              <w:ind w:left="134" w:right="83"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p>
          <w:p>
            <w:pPr>
              <w:pStyle w:val="Normal"/>
              <w:widowControl w:val="false"/>
              <w:suppressAutoHyphens w:val="true"/>
              <w:spacing w:lineRule="auto" w:line="259" w:before="0" w:after="0"/>
              <w:ind w:left="0" w:right="0" w:hanging="0"/>
              <w:jc w:val="left"/>
              <w:rPr>
                <w:rFonts w:ascii="Calibri" w:hAnsi="Calibri" w:cs="Calibri" w:asciiTheme="minorHAnsi" w:cstheme="minorHAnsi" w:hAnsiTheme="minorHAnsi"/>
                <w:color w:val="auto"/>
                <w:szCs w:val="24"/>
                <w:highlight w:val="yellow"/>
              </w:rPr>
            </w:pPr>
            <w:r>
              <w:rPr>
                <w:rFonts w:cs="Calibri" w:cstheme="minorHAnsi"/>
                <w:color w:val="auto"/>
                <w:szCs w:val="24"/>
                <w:highlight w:val="yellow"/>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80" w:leader="none"/>
              </w:tabs>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10. DA AVALIAÇÃO DOS RESULTADOS</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68"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A Unidade Descentralizada apresentará relatório de cumprimento do objeto conforme previsto no art. 23 do decreto nº 10.426, de 2020, cuja análise ocorrerá pela Unidade Descentralizadora nos termos do art. 24 do mesmo normativo.</w:t>
            </w:r>
          </w:p>
          <w:p>
            <w:pPr>
              <w:pStyle w:val="Normal"/>
              <w:widowControl w:val="false"/>
              <w:suppressAutoHyphens w:val="true"/>
              <w:spacing w:lineRule="auto" w:line="259" w:before="0" w:after="0"/>
              <w:ind w:left="134" w:right="68"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pPr>
              <w:pStyle w:val="Normal"/>
              <w:widowControl w:val="false"/>
              <w:suppressAutoHyphens w:val="true"/>
              <w:spacing w:lineRule="auto" w:line="259" w:before="0" w:after="0"/>
              <w:ind w:left="134" w:right="68" w:hanging="0"/>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11. DA DENÚNCIA OU RESCISÃO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11.1. Denúncia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908"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68" w:hanging="0"/>
              <w:rPr>
                <w:rFonts w:ascii="Calibri" w:hAnsi="Calibri" w:cs="Calibri" w:asciiTheme="minorHAnsi" w:cstheme="minorHAnsi" w:hAnsiTheme="minorHAnsi"/>
                <w:szCs w:val="24"/>
                <w:shd w:fill="FFFFFF" w:val="clear"/>
              </w:rPr>
            </w:pPr>
            <w:r>
              <w:rPr>
                <w:rFonts w:cs="Calibri" w:cstheme="minorHAnsi"/>
                <w:color w:val="auto"/>
                <w:kern w:val="0"/>
                <w:szCs w:val="24"/>
                <w:lang w:val="pt-BR" w:eastAsia="pt-BR" w:bidi="ar-SA"/>
              </w:rPr>
              <w:t xml:space="preserve">O Termo de Execução Descentralizada poderá </w:t>
            </w:r>
            <w:r>
              <w:rPr>
                <w:rFonts w:cs="Calibri" w:cstheme="minorHAnsi"/>
                <w:kern w:val="0"/>
                <w:szCs w:val="24"/>
                <w:shd w:fill="FFFFFF" w:val="clear"/>
                <w:lang w:val="pt-BR" w:eastAsia="pt-BR" w:bidi="ar-SA"/>
              </w:rPr>
              <w:t>ser denunciado a qualquer tempo, hipótese em que os partícipes ficarão responsáveis somente pelas obrigações pactuadas e auferirão as vantagens do período em que participaram voluntariamente do TED.</w:t>
            </w:r>
          </w:p>
          <w:p>
            <w:pPr>
              <w:pStyle w:val="Normal"/>
              <w:widowControl w:val="false"/>
              <w:suppressAutoHyphens w:val="true"/>
              <w:spacing w:lineRule="auto" w:line="259" w:before="0" w:after="0"/>
              <w:ind w:left="134" w:right="283" w:hanging="0"/>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11.2. Rescisão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78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Constituem motivos para rescisão do presente TED: </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I - o inadimplemento de qualquer das cláusulas pactuadas; </w:t>
            </w:r>
          </w:p>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II - a constatação, a qualquer tempo, de irregularidades na execução do TED; e </w:t>
            </w:r>
          </w:p>
          <w:p>
            <w:pPr>
              <w:pStyle w:val="Normal"/>
              <w:widowControl w:val="false"/>
              <w:suppressAutoHyphens w:val="true"/>
              <w:spacing w:lineRule="auto" w:line="259" w:before="0" w:after="0"/>
              <w:ind w:left="10" w:right="0" w:hanging="10"/>
              <w:jc w:val="left"/>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  </w:t>
            </w:r>
            <w:r>
              <w:rPr>
                <w:rFonts w:cs="Calibri" w:cstheme="minorHAnsi"/>
                <w:color w:val="auto"/>
                <w:kern w:val="0"/>
                <w:szCs w:val="24"/>
                <w:lang w:val="pt-BR" w:eastAsia="pt-BR" w:bidi="ar-SA"/>
              </w:rPr>
              <w:t>III - a verificação de circunstâncias que ensejem a instauração de tomada de contas especial; ou</w:t>
            </w:r>
          </w:p>
          <w:p>
            <w:pPr>
              <w:pStyle w:val="Normal"/>
              <w:widowControl w:val="false"/>
              <w:suppressAutoHyphens w:val="true"/>
              <w:spacing w:lineRule="auto" w:line="259" w:before="0" w:after="0"/>
              <w:ind w:left="134" w:right="68" w:hanging="0"/>
              <w:jc w:val="left"/>
              <w:rPr>
                <w:rFonts w:ascii="Calibri" w:hAnsi="Calibri" w:cs="Calibri" w:asciiTheme="minorHAnsi" w:cstheme="minorHAnsi" w:hAnsiTheme="minorHAnsi"/>
                <w:szCs w:val="24"/>
                <w:shd w:fill="FFFFFF" w:val="clear"/>
              </w:rPr>
            </w:pPr>
            <w:r>
              <w:rPr>
                <w:rFonts w:cs="Calibri" w:cstheme="minorHAnsi"/>
                <w:kern w:val="0"/>
                <w:szCs w:val="24"/>
                <w:shd w:fill="FFFFFF" w:val="clear"/>
                <w:lang w:val="pt-BR" w:eastAsia="pt-BR" w:bidi="ar-SA"/>
              </w:rPr>
              <w:t>IV - a ocorrência de caso fortuito ou de força maior que, mediante comprovação, impeça a execução do objeto.</w:t>
            </w:r>
          </w:p>
          <w:p>
            <w:pPr>
              <w:pStyle w:val="Normal"/>
              <w:widowControl w:val="false"/>
              <w:suppressAutoHyphens w:val="true"/>
              <w:spacing w:lineRule="auto" w:line="259" w:before="0" w:after="0"/>
              <w:ind w:left="134" w:right="68" w:hanging="0"/>
              <w:jc w:val="left"/>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 xml:space="preserve">12. SOLUÇÃO DE CONFLITO </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910"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210"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Para dirimir quaisquer questões de natureza jurídica oriundas do presente Termo, os partícipes comprometem-se a solicitar o auxílio da Câmara de Conciliação e Arbitragem da Administração Federal da Advocacia-Geral da União - CCAF/AGU. </w:t>
            </w:r>
          </w:p>
          <w:p>
            <w:pPr>
              <w:pStyle w:val="Normal"/>
              <w:widowControl w:val="false"/>
              <w:suppressAutoHyphens w:val="true"/>
              <w:spacing w:lineRule="auto" w:line="259" w:before="0" w:after="0"/>
              <w:ind w:left="134" w:right="283" w:hanging="0"/>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b/>
                <w:b/>
                <w:color w:val="auto"/>
                <w:szCs w:val="24"/>
              </w:rPr>
            </w:pPr>
            <w:r>
              <w:rPr>
                <w:rFonts w:cs="Calibri" w:cstheme="minorHAnsi"/>
                <w:b/>
                <w:color w:val="auto"/>
                <w:kern w:val="0"/>
                <w:szCs w:val="24"/>
                <w:lang w:val="pt-BR" w:eastAsia="pt-BR" w:bidi="ar-SA"/>
              </w:rPr>
              <w:t>13. PUBLICAÇÃO</w:t>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4"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4" w:right="210"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O TED e seus eventuais termos aditivos, que impliquem em alteração de valor ou, ainda, ampliação ou redução de prazo para execução do objeto, serão assinados pelos partícipes e seus extratos serão publicados no sítio eletrônico oficial da Unidade Descentralizadora, no prazo de vinte dias, contado da data da assinatura, conforme disposto no art. 14 do Decreto nº 10.426, de 2020.</w:t>
            </w:r>
          </w:p>
          <w:p>
            <w:pPr>
              <w:pStyle w:val="Normal"/>
              <w:widowControl w:val="false"/>
              <w:suppressAutoHyphens w:val="true"/>
              <w:spacing w:lineRule="auto" w:line="259" w:before="0" w:after="0"/>
              <w:ind w:left="134" w:right="274" w:hanging="0"/>
              <w:rPr>
                <w:rFonts w:ascii="Calibri" w:hAnsi="Calibri" w:cs="Calibri" w:asciiTheme="minorHAnsi" w:cstheme="minorHAnsi" w:hAnsiTheme="minorHAnsi"/>
                <w:color w:val="auto"/>
                <w:szCs w:val="24"/>
              </w:rPr>
            </w:pPr>
            <w:r>
              <w:rPr>
                <w:rFonts w:cs="Calibri" w:cstheme="minorHAnsi"/>
                <w:color w:val="auto"/>
                <w:kern w:val="0"/>
                <w:szCs w:val="24"/>
                <w:lang w:val="pt-BR" w:eastAsia="pt-BR" w:bidi="ar-SA"/>
              </w:rPr>
              <w:t xml:space="preserve">As Unidades Descentralizadora e Descentralizada disponibilizarão a íntegra do TED celebrado e do Plano de Trabalho atualizado em seus sítios eletrônicos oficiais no prazo a que se refere o caput. </w:t>
            </w:r>
          </w:p>
          <w:p>
            <w:pPr>
              <w:pStyle w:val="Normal"/>
              <w:widowControl w:val="false"/>
              <w:suppressAutoHyphens w:val="true"/>
              <w:spacing w:lineRule="auto" w:line="259" w:before="0" w:after="0"/>
              <w:ind w:left="134" w:right="0" w:hanging="0"/>
              <w:rPr>
                <w:rFonts w:ascii="Calibri" w:hAnsi="Calibri" w:cs="Calibri" w:asciiTheme="minorHAnsi" w:cstheme="minorHAnsi" w:hAnsiTheme="minorHAnsi"/>
                <w:b/>
                <w:b/>
                <w:color w:val="auto"/>
                <w:szCs w:val="24"/>
              </w:rPr>
            </w:pPr>
            <w:r>
              <w:rPr>
                <w:rFonts w:cs="Calibri" w:cstheme="minorHAnsi"/>
                <w:b/>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322" w:hRule="atLeast"/>
        </w:trPr>
        <w:tc>
          <w:tcPr>
            <w:tcW w:w="5220" w:type="dxa"/>
            <w:tcBorders>
              <w:top w:val="single" w:sz="4" w:space="0" w:color="000000"/>
              <w:left w:val="single" w:sz="4" w:space="0" w:color="000000"/>
              <w:bottom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b/>
                <w:color w:val="auto"/>
                <w:kern w:val="0"/>
                <w:szCs w:val="24"/>
                <w:lang w:val="pt-BR" w:eastAsia="pt-BR" w:bidi="ar-SA"/>
              </w:rPr>
              <w:t>14. ASSINATURAS</w:t>
            </w:r>
          </w:p>
        </w:tc>
        <w:tc>
          <w:tcPr>
            <w:tcW w:w="4758" w:type="dxa"/>
            <w:gridSpan w:val="2"/>
            <w:tcBorders>
              <w:top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134" w:right="0" w:hanging="0"/>
              <w:jc w:val="left"/>
              <w:rPr>
                <w:rFonts w:ascii="Calibri" w:hAnsi="Calibri" w:cs="Calibri" w:asciiTheme="minorHAnsi" w:cstheme="minorHAnsi" w:hAnsiTheme="minorHAnsi"/>
                <w:color w:val="auto"/>
                <w:szCs w:val="24"/>
              </w:rPr>
            </w:pPr>
            <w:r>
              <w:rPr>
                <w:rFonts w:cs="Calibri" w:cstheme="minorHAnsi"/>
                <w:color w:val="auto"/>
                <w:szCs w:val="24"/>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616"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uppressAutoHyphens w:val="true"/>
              <w:spacing w:before="0" w:after="280"/>
              <w:ind w:left="135" w:right="0" w:hanging="0"/>
              <w:rPr>
                <w:rFonts w:ascii="Calibri" w:hAnsi="Calibri" w:eastAsia="Calibri" w:cs="Calibri" w:asciiTheme="minorHAnsi" w:cstheme="minorHAnsi" w:hAnsiTheme="minorHAnsi"/>
              </w:rPr>
            </w:pPr>
            <w:r>
              <w:rPr>
                <w:rFonts w:eastAsia="Calibri" w:cs="Calibri" w:ascii="Calibri" w:hAnsi="Calibri" w:asciiTheme="minorHAnsi" w:cstheme="minorHAnsi" w:hAnsiTheme="minorHAnsi"/>
                <w:kern w:val="0"/>
                <w:lang w:val="pt-BR" w:eastAsia="pt-BR" w:bidi="ar-SA"/>
              </w:rPr>
              <w:t xml:space="preserve">Local e data: </w:t>
            </w:r>
            <w:r>
              <w:rPr>
                <w:rFonts w:eastAsia="Calibri" w:cs="Calibri" w:ascii="Calibri" w:hAnsi="Calibri"/>
                <w:kern w:val="0"/>
                <w:lang w:val="pt-BR" w:eastAsia="pt-BR" w:bidi="ar-SA"/>
              </w:rPr>
              <w:t>Brasília, xx de xxxxxxx de 202</w:t>
            </w:r>
            <w:r>
              <w:rPr>
                <w:rFonts w:eastAsia="Calibri" w:cs="Calibri" w:ascii="Calibri" w:hAnsi="Calibri" w:asciiTheme="minorHAnsi" w:cstheme="minorHAnsi" w:hAnsiTheme="minorHAnsi"/>
                <w:kern w:val="0"/>
                <w:lang w:val="pt-BR" w:eastAsia="pt-BR" w:bidi="ar-SA"/>
              </w:rPr>
              <w:t>3</w:t>
            </w:r>
          </w:p>
          <w:p>
            <w:pPr>
              <w:pStyle w:val="NormalWeb"/>
              <w:widowControl w:val="false"/>
              <w:suppressAutoHyphens w:val="true"/>
              <w:spacing w:before="280" w:after="280"/>
              <w:ind w:left="135" w:right="0" w:hanging="0"/>
              <w:contextualSpacing/>
              <w:rPr>
                <w:rFonts w:ascii="Calibri" w:hAnsi="Calibri" w:eastAsia="Calibri" w:cs="Calibri" w:asciiTheme="minorHAnsi" w:cstheme="minorHAnsi" w:hAnsiTheme="minorHAnsi"/>
              </w:rPr>
            </w:pPr>
            <w:r>
              <w:rPr>
                <w:rFonts w:eastAsia="Calibri" w:cs="Calibri" w:ascii="Calibri" w:hAnsi="Calibri" w:asciiTheme="minorHAnsi" w:cstheme="minorHAnsi" w:hAnsiTheme="minorHAnsi"/>
                <w:kern w:val="0"/>
                <w:lang w:val="pt-BR" w:eastAsia="pt-BR" w:bidi="ar-SA"/>
              </w:rPr>
              <w:t xml:space="preserve">Nome e assinatura do Responsável pela Unidade Descentralizada: </w:t>
            </w:r>
            <w:r>
              <w:rPr>
                <w:rFonts w:eastAsia="Times New Roman" w:cs="Calibri" w:ascii="Calibri" w:hAnsi="Calibri" w:asciiTheme="minorHAnsi" w:cstheme="minorHAnsi" w:hAnsiTheme="minorHAnsi"/>
                <w:b/>
                <w:bCs/>
                <w:color w:val="auto"/>
                <w:kern w:val="0"/>
                <w:sz w:val="24"/>
                <w:szCs w:val="24"/>
                <w:lang w:val="pt-BR" w:eastAsia="pt-BR" w:bidi="ar-SA"/>
              </w:rPr>
              <w:t>Jones Dari Goetter – Reitor da UFGD</w:t>
            </w:r>
            <w:r>
              <w:rPr>
                <w:rFonts w:cs="Calibri" w:ascii="Calibri" w:hAnsi="Calibri" w:asciiTheme="minorHAnsi" w:cstheme="minorHAnsi" w:hAnsiTheme="minorHAnsi"/>
                <w:kern w:val="0"/>
                <w:lang w:val="pt-BR" w:eastAsia="pt-BR" w:bidi="ar-SA"/>
              </w:rPr>
              <w:t>.</w:t>
            </w:r>
          </w:p>
          <w:p>
            <w:pPr>
              <w:pStyle w:val="NormalWeb"/>
              <w:widowControl w:val="false"/>
              <w:suppressAutoHyphens w:val="true"/>
              <w:spacing w:before="280" w:after="0"/>
              <w:ind w:left="135" w:right="0" w:hanging="0"/>
              <w:contextualSpacing/>
              <w:rPr>
                <w:rFonts w:ascii="Calibri" w:hAnsi="Calibri" w:eastAsia="Calibri" w:cs="Calibri" w:asciiTheme="minorHAnsi" w:cstheme="minorHAnsi" w:hAnsiTheme="minorHAnsi"/>
                <w:sz w:val="20"/>
                <w:szCs w:val="20"/>
              </w:rPr>
            </w:pPr>
            <w:r>
              <w:rPr>
                <w:rFonts w:eastAsia="Calibri" w:cs="Calibri" w:cstheme="minorHAnsi" w:ascii="Calibri" w:hAnsi="Calibri"/>
                <w:sz w:val="20"/>
                <w:szCs w:val="20"/>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r>
        <w:trPr>
          <w:trHeight w:val="616" w:hRule="atLeast"/>
        </w:trPr>
        <w:tc>
          <w:tcPr>
            <w:tcW w:w="9978"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uppressAutoHyphens w:val="true"/>
              <w:spacing w:before="0" w:after="280"/>
              <w:ind w:left="135" w:right="0" w:hanging="0"/>
              <w:rPr>
                <w:rFonts w:ascii="Calibri" w:hAnsi="Calibri" w:eastAsia="Calibri" w:cs="Calibri" w:asciiTheme="minorHAnsi" w:cstheme="minorHAnsi" w:hAnsiTheme="minorHAnsi"/>
              </w:rPr>
            </w:pPr>
            <w:r>
              <w:rPr>
                <w:rFonts w:eastAsia="Calibri" w:cs="Calibri" w:ascii="Calibri" w:hAnsi="Calibri" w:asciiTheme="minorHAnsi" w:cstheme="minorHAnsi" w:hAnsiTheme="minorHAnsi"/>
                <w:kern w:val="0"/>
                <w:lang w:val="pt-BR" w:eastAsia="pt-BR" w:bidi="ar-SA"/>
              </w:rPr>
              <w:t xml:space="preserve">Local e data: </w:t>
            </w:r>
            <w:r>
              <w:rPr>
                <w:rFonts w:eastAsia="Calibri" w:cs="Calibri" w:ascii="Calibri" w:hAnsi="Calibri"/>
                <w:kern w:val="0"/>
                <w:lang w:val="pt-BR" w:eastAsia="pt-BR" w:bidi="ar-SA"/>
              </w:rPr>
              <w:t>Brasília, xx de xxxxxxx de 202</w:t>
            </w:r>
            <w:r>
              <w:rPr>
                <w:rFonts w:eastAsia="Calibri" w:cs="Calibri" w:ascii="Calibri" w:hAnsi="Calibri" w:asciiTheme="minorHAnsi" w:cstheme="minorHAnsi" w:hAnsiTheme="minorHAnsi"/>
                <w:kern w:val="0"/>
                <w:lang w:val="pt-BR" w:eastAsia="pt-BR" w:bidi="ar-SA"/>
              </w:rPr>
              <w:t>3</w:t>
            </w:r>
          </w:p>
          <w:p>
            <w:pPr>
              <w:pStyle w:val="NormalWeb"/>
              <w:widowControl w:val="false"/>
              <w:suppressAutoHyphens w:val="true"/>
              <w:spacing w:before="280" w:after="280"/>
              <w:ind w:left="135" w:right="0" w:hanging="0"/>
              <w:contextualSpacing/>
              <w:rPr>
                <w:rFonts w:ascii="Calibri" w:hAnsi="Calibri" w:eastAsia="Calibri" w:cs="Calibri" w:asciiTheme="minorHAnsi" w:cstheme="minorHAnsi" w:hAnsiTheme="minorHAnsi"/>
              </w:rPr>
            </w:pPr>
            <w:r>
              <w:rPr>
                <w:rFonts w:eastAsia="Calibri" w:cs="Calibri" w:ascii="Calibri" w:hAnsi="Calibri" w:asciiTheme="minorHAnsi" w:cstheme="minorHAnsi" w:hAnsiTheme="minorHAnsi"/>
                <w:kern w:val="0"/>
                <w:lang w:val="pt-BR" w:eastAsia="pt-BR" w:bidi="ar-SA"/>
              </w:rPr>
              <w:t xml:space="preserve">Nome e assinatura do Responsável pela Unidade Descentralizadora: </w:t>
            </w:r>
          </w:p>
          <w:p>
            <w:pPr>
              <w:pStyle w:val="NormalWeb"/>
              <w:widowControl w:val="false"/>
              <w:suppressAutoHyphens w:val="true"/>
              <w:spacing w:before="280" w:after="0"/>
              <w:ind w:left="135" w:right="0" w:hanging="0"/>
              <w:contextualSpacing/>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tc>
        <w:tc>
          <w:tcPr>
            <w:tcW w:w="7" w:type="dxa"/>
            <w:tcBorders/>
          </w:tcPr>
          <w:p>
            <w:pPr>
              <w:pStyle w:val="Normal"/>
              <w:widowControl w:val="false"/>
              <w:suppressAutoHyphens w:val="true"/>
              <w:spacing w:before="0" w:after="108"/>
              <w:rPr>
                <w:kern w:val="0"/>
                <w:szCs w:val="22"/>
                <w:lang w:val="pt-BR" w:eastAsia="pt-BR" w:bidi="ar-SA"/>
              </w:rPr>
            </w:pPr>
            <w:r>
              <w:rPr>
                <w:kern w:val="0"/>
                <w:szCs w:val="22"/>
                <w:lang w:val="pt-BR" w:eastAsia="pt-BR" w:bidi="ar-SA"/>
              </w:rPr>
            </w:r>
          </w:p>
        </w:tc>
      </w:tr>
    </w:tbl>
    <w:p>
      <w:pPr>
        <w:pStyle w:val="Normal"/>
        <w:spacing w:lineRule="auto" w:line="259" w:before="0" w:after="160"/>
        <w:ind w:left="0" w:right="0" w:hanging="0"/>
        <w:jc w:val="left"/>
        <w:rPr>
          <w:rFonts w:ascii="Calibri" w:hAnsi="Calibri" w:cs="Calibri" w:asciiTheme="minorHAnsi" w:cstheme="minorHAnsi" w:hAnsiTheme="minorHAnsi"/>
          <w:b/>
          <w:b/>
          <w:bCs/>
          <w:i/>
          <w:i/>
          <w:color w:val="2F5496" w:themeColor="accent1" w:themeShade="bf"/>
          <w:szCs w:val="24"/>
        </w:rPr>
      </w:pPr>
      <w:r>
        <w:rPr>
          <w:rFonts w:cs="Calibri" w:cstheme="minorHAnsi"/>
          <w:b/>
          <w:bCs/>
          <w:i/>
          <w:color w:val="2F5496" w:themeColor="accent1" w:themeShade="bf"/>
          <w:szCs w:val="24"/>
        </w:rPr>
      </w:r>
    </w:p>
    <w:p>
      <w:pPr>
        <w:pStyle w:val="Normal"/>
        <w:spacing w:lineRule="auto" w:line="259" w:before="0" w:after="160"/>
        <w:ind w:left="0" w:right="0" w:hanging="0"/>
        <w:jc w:val="left"/>
        <w:rPr>
          <w:rFonts w:ascii="Calibri" w:hAnsi="Calibri" w:cs="Calibri" w:asciiTheme="minorHAnsi" w:cstheme="minorHAnsi" w:hAnsiTheme="minorHAnsi"/>
          <w:b/>
          <w:b/>
          <w:bCs/>
          <w:i/>
          <w:i/>
          <w:color w:val="2F5496" w:themeColor="accent1" w:themeShade="bf"/>
          <w:szCs w:val="24"/>
        </w:rPr>
      </w:pPr>
      <w:r>
        <w:rPr>
          <w:rFonts w:cs="Calibri" w:cstheme="minorHAnsi"/>
          <w:b/>
          <w:bCs/>
          <w:i/>
          <w:color w:val="2F5496" w:themeColor="accent1" w:themeShade="bf"/>
          <w:szCs w:val="24"/>
        </w:rPr>
      </w:r>
    </w:p>
    <w:p>
      <w:pPr>
        <w:pStyle w:val="Normal"/>
        <w:spacing w:lineRule="auto" w:line="259" w:before="0" w:after="160"/>
        <w:ind w:left="0" w:right="0" w:hanging="0"/>
        <w:jc w:val="left"/>
        <w:rPr>
          <w:rFonts w:ascii="Calibri" w:hAnsi="Calibri" w:cs="Calibri" w:asciiTheme="minorHAnsi" w:cstheme="minorHAnsi" w:hAnsiTheme="minorHAnsi"/>
          <w:b/>
          <w:b/>
          <w:bCs/>
          <w:i/>
          <w:i/>
          <w:color w:val="2F5496" w:themeColor="accent1" w:themeShade="bf"/>
          <w:szCs w:val="24"/>
        </w:rPr>
      </w:pPr>
      <w:r>
        <w:rPr>
          <w:rFonts w:cs="Calibri" w:cstheme="minorHAnsi"/>
          <w:b/>
          <w:bCs/>
          <w:i/>
          <w:color w:val="2F5496" w:themeColor="accent1" w:themeShade="bf"/>
          <w:szCs w:val="24"/>
        </w:rPr>
      </w:r>
    </w:p>
    <w:p>
      <w:pPr>
        <w:pStyle w:val="Normal"/>
        <w:spacing w:lineRule="auto" w:line="259" w:before="0" w:after="160"/>
        <w:ind w:left="0" w:right="0" w:hanging="0"/>
        <w:jc w:val="left"/>
        <w:rPr>
          <w:rFonts w:ascii="Calibri" w:hAnsi="Calibri" w:cs="Calibri" w:asciiTheme="minorHAnsi" w:cstheme="minorHAnsi" w:hAnsiTheme="minorHAnsi"/>
          <w:b/>
          <w:b/>
          <w:bCs/>
          <w:i/>
          <w:i/>
          <w:color w:val="2F5496" w:themeColor="accent1" w:themeShade="bf"/>
          <w:szCs w:val="24"/>
        </w:rPr>
      </w:pPr>
      <w:r>
        <w:rPr>
          <w:rFonts w:cs="Calibri" w:cstheme="minorHAnsi"/>
          <w:b/>
          <w:bCs/>
          <w:i/>
          <w:color w:val="2F5496" w:themeColor="accent1" w:themeShade="bf"/>
          <w:szCs w:val="24"/>
        </w:rPr>
      </w:r>
    </w:p>
    <w:p>
      <w:pPr>
        <w:pStyle w:val="Normal"/>
        <w:spacing w:lineRule="auto" w:line="259" w:before="0" w:after="160"/>
        <w:ind w:left="0" w:right="0" w:hanging="0"/>
        <w:jc w:val="left"/>
        <w:rPr>
          <w:rFonts w:ascii="Calibri" w:hAnsi="Calibri" w:cs="Calibri" w:asciiTheme="minorHAnsi" w:cstheme="minorHAnsi" w:hAnsiTheme="minorHAnsi"/>
          <w:b/>
          <w:b/>
          <w:bCs/>
          <w:i/>
          <w:i/>
          <w:color w:val="2F5496" w:themeColor="accent1" w:themeShade="bf"/>
          <w:szCs w:val="24"/>
        </w:rPr>
      </w:pPr>
      <w:r>
        <w:rPr>
          <w:rFonts w:cs="Calibri" w:cstheme="minorHAnsi"/>
          <w:b/>
          <w:bCs/>
          <w:i/>
          <w:color w:val="2F5496" w:themeColor="accent1" w:themeShade="bf"/>
          <w:szCs w:val="24"/>
        </w:rPr>
      </w:r>
    </w:p>
    <w:p>
      <w:pPr>
        <w:pStyle w:val="Normal"/>
        <w:spacing w:lineRule="auto" w:line="259" w:before="0" w:after="160"/>
        <w:ind w:left="0" w:right="0" w:hanging="0"/>
        <w:jc w:val="left"/>
        <w:rPr>
          <w:rFonts w:ascii="Calibri" w:hAnsi="Calibri" w:cs="Calibri" w:asciiTheme="minorHAnsi" w:cstheme="minorHAnsi" w:hAnsiTheme="minorHAnsi"/>
          <w:b/>
          <w:b/>
          <w:color w:val="auto"/>
          <w:szCs w:val="24"/>
        </w:rPr>
      </w:pPr>
      <w:r>
        <w:rPr>
          <w:rFonts w:cs="Calibri" w:cstheme="minorHAnsi"/>
          <w:b/>
          <w:color w:val="auto"/>
          <w:szCs w:val="24"/>
        </w:rPr>
      </w:r>
      <w:r>
        <w:br w:type="page"/>
      </w:r>
    </w:p>
    <w:p>
      <w:pPr>
        <w:pStyle w:val="Normal"/>
        <w:tabs>
          <w:tab w:val="clear" w:pos="708"/>
          <w:tab w:val="center" w:pos="1439" w:leader="none"/>
          <w:tab w:val="center" w:pos="2724" w:leader="none"/>
          <w:tab w:val="center" w:pos="3477" w:leader="none"/>
          <w:tab w:val="center" w:pos="4208" w:leader="none"/>
          <w:tab w:val="center" w:pos="5131" w:leader="none"/>
          <w:tab w:val="center" w:pos="6076" w:leader="none"/>
          <w:tab w:val="center" w:pos="6855" w:leader="none"/>
          <w:tab w:val="center" w:pos="7611" w:leader="none"/>
          <w:tab w:val="center" w:pos="8537" w:leader="none"/>
        </w:tabs>
        <w:spacing w:lineRule="auto" w:line="259" w:before="0" w:after="0"/>
        <w:ind w:left="0" w:right="0" w:hanging="0"/>
        <w:rPr>
          <w:rFonts w:ascii="Calibri" w:hAnsi="Calibri" w:cs="Calibri" w:asciiTheme="minorHAnsi" w:cstheme="minorHAnsi" w:hAnsiTheme="minorHAnsi"/>
          <w:b/>
          <w:b/>
          <w:color w:val="auto"/>
          <w:szCs w:val="24"/>
        </w:rPr>
      </w:pPr>
      <w:r>
        <w:rPr/>
      </w:r>
    </w:p>
    <w:sectPr>
      <w:headerReference w:type="default" r:id="rId2"/>
      <w:footerReference w:type="default" r:id="rId3"/>
      <w:type w:val="nextPage"/>
      <w:pgSz w:w="11906" w:h="16838"/>
      <w:pgMar w:left="1134" w:right="1127" w:header="142" w:top="709"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94" w:hanging="360"/>
      </w:pPr>
    </w:lvl>
    <w:lvl w:ilvl="1">
      <w:start w:val="1"/>
      <w:numFmt w:val="lowerLetter"/>
      <w:lvlText w:val="%2."/>
      <w:lvlJc w:val="left"/>
      <w:pPr>
        <w:tabs>
          <w:tab w:val="num" w:pos="0"/>
        </w:tabs>
        <w:ind w:left="1214" w:hanging="360"/>
      </w:pPr>
    </w:lvl>
    <w:lvl w:ilvl="2">
      <w:start w:val="1"/>
      <w:numFmt w:val="lowerRoman"/>
      <w:lvlText w:val="%3."/>
      <w:lvlJc w:val="right"/>
      <w:pPr>
        <w:tabs>
          <w:tab w:val="num" w:pos="0"/>
        </w:tabs>
        <w:ind w:left="1934" w:hanging="180"/>
      </w:pPr>
    </w:lvl>
    <w:lvl w:ilvl="3">
      <w:start w:val="1"/>
      <w:numFmt w:val="decimal"/>
      <w:lvlText w:val="%4."/>
      <w:lvlJc w:val="left"/>
      <w:pPr>
        <w:tabs>
          <w:tab w:val="num" w:pos="0"/>
        </w:tabs>
        <w:ind w:left="2654" w:hanging="360"/>
      </w:pPr>
    </w:lvl>
    <w:lvl w:ilvl="4">
      <w:start w:val="1"/>
      <w:numFmt w:val="lowerLetter"/>
      <w:lvlText w:val="%5."/>
      <w:lvlJc w:val="left"/>
      <w:pPr>
        <w:tabs>
          <w:tab w:val="num" w:pos="0"/>
        </w:tabs>
        <w:ind w:left="3374" w:hanging="360"/>
      </w:pPr>
    </w:lvl>
    <w:lvl w:ilvl="5">
      <w:start w:val="1"/>
      <w:numFmt w:val="lowerRoman"/>
      <w:lvlText w:val="%6."/>
      <w:lvlJc w:val="right"/>
      <w:pPr>
        <w:tabs>
          <w:tab w:val="num" w:pos="0"/>
        </w:tabs>
        <w:ind w:left="4094" w:hanging="180"/>
      </w:pPr>
    </w:lvl>
    <w:lvl w:ilvl="6">
      <w:start w:val="1"/>
      <w:numFmt w:val="decimal"/>
      <w:lvlText w:val="%7."/>
      <w:lvlJc w:val="left"/>
      <w:pPr>
        <w:tabs>
          <w:tab w:val="num" w:pos="0"/>
        </w:tabs>
        <w:ind w:left="4814" w:hanging="360"/>
      </w:pPr>
    </w:lvl>
    <w:lvl w:ilvl="7">
      <w:start w:val="1"/>
      <w:numFmt w:val="lowerLetter"/>
      <w:lvlText w:val="%8."/>
      <w:lvlJc w:val="left"/>
      <w:pPr>
        <w:tabs>
          <w:tab w:val="num" w:pos="0"/>
        </w:tabs>
        <w:ind w:left="5534" w:hanging="360"/>
      </w:pPr>
    </w:lvl>
    <w:lvl w:ilvl="8">
      <w:start w:val="1"/>
      <w:numFmt w:val="lowerRoman"/>
      <w:lvlText w:val="%9."/>
      <w:lvlJc w:val="right"/>
      <w:pPr>
        <w:tabs>
          <w:tab w:val="num" w:pos="0"/>
        </w:tabs>
        <w:ind w:left="6254" w:hanging="180"/>
      </w:pPr>
    </w:lvl>
  </w:abstractNum>
  <w:abstractNum w:abstractNumId="2">
    <w:lvl w:ilvl="0">
      <w:start w:val="1"/>
      <w:numFmt w:val="lowerLetter"/>
      <w:lvlText w:val="%1)"/>
      <w:lvlJc w:val="left"/>
      <w:pPr>
        <w:tabs>
          <w:tab w:val="num" w:pos="0"/>
        </w:tabs>
        <w:ind w:left="494" w:hanging="360"/>
      </w:pPr>
    </w:lvl>
    <w:lvl w:ilvl="1">
      <w:start w:val="1"/>
      <w:numFmt w:val="lowerLetter"/>
      <w:lvlText w:val="%2."/>
      <w:lvlJc w:val="left"/>
      <w:pPr>
        <w:tabs>
          <w:tab w:val="num" w:pos="0"/>
        </w:tabs>
        <w:ind w:left="1214" w:hanging="360"/>
      </w:pPr>
    </w:lvl>
    <w:lvl w:ilvl="2">
      <w:start w:val="1"/>
      <w:numFmt w:val="lowerRoman"/>
      <w:lvlText w:val="%3."/>
      <w:lvlJc w:val="right"/>
      <w:pPr>
        <w:tabs>
          <w:tab w:val="num" w:pos="0"/>
        </w:tabs>
        <w:ind w:left="1934" w:hanging="180"/>
      </w:pPr>
    </w:lvl>
    <w:lvl w:ilvl="3">
      <w:start w:val="1"/>
      <w:numFmt w:val="decimal"/>
      <w:lvlText w:val="%4."/>
      <w:lvlJc w:val="left"/>
      <w:pPr>
        <w:tabs>
          <w:tab w:val="num" w:pos="0"/>
        </w:tabs>
        <w:ind w:left="2654" w:hanging="360"/>
      </w:pPr>
    </w:lvl>
    <w:lvl w:ilvl="4">
      <w:start w:val="1"/>
      <w:numFmt w:val="lowerLetter"/>
      <w:lvlText w:val="%5."/>
      <w:lvlJc w:val="left"/>
      <w:pPr>
        <w:tabs>
          <w:tab w:val="num" w:pos="0"/>
        </w:tabs>
        <w:ind w:left="3374" w:hanging="360"/>
      </w:pPr>
    </w:lvl>
    <w:lvl w:ilvl="5">
      <w:start w:val="1"/>
      <w:numFmt w:val="lowerRoman"/>
      <w:lvlText w:val="%6."/>
      <w:lvlJc w:val="right"/>
      <w:pPr>
        <w:tabs>
          <w:tab w:val="num" w:pos="0"/>
        </w:tabs>
        <w:ind w:left="4094" w:hanging="180"/>
      </w:pPr>
    </w:lvl>
    <w:lvl w:ilvl="6">
      <w:start w:val="1"/>
      <w:numFmt w:val="decimal"/>
      <w:lvlText w:val="%7."/>
      <w:lvlJc w:val="left"/>
      <w:pPr>
        <w:tabs>
          <w:tab w:val="num" w:pos="0"/>
        </w:tabs>
        <w:ind w:left="4814" w:hanging="360"/>
      </w:pPr>
    </w:lvl>
    <w:lvl w:ilvl="7">
      <w:start w:val="1"/>
      <w:numFmt w:val="lowerLetter"/>
      <w:lvlText w:val="%8."/>
      <w:lvlJc w:val="left"/>
      <w:pPr>
        <w:tabs>
          <w:tab w:val="num" w:pos="0"/>
        </w:tabs>
        <w:ind w:left="5534" w:hanging="360"/>
      </w:pPr>
    </w:lvl>
    <w:lvl w:ilvl="8">
      <w:start w:val="1"/>
      <w:numFmt w:val="lowerRoman"/>
      <w:lvlText w:val="%9."/>
      <w:lvlJc w:val="right"/>
      <w:pPr>
        <w:tabs>
          <w:tab w:val="num" w:pos="0"/>
        </w:tabs>
        <w:ind w:left="625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08"/>
      <w:ind w:left="10" w:right="2" w:hanging="10"/>
      <w:jc w:val="both"/>
    </w:pPr>
    <w:rPr>
      <w:rFonts w:ascii="Calibri" w:hAnsi="Calibri" w:eastAsia="Calibri" w:cs="Calibri"/>
      <w:color w:val="000000"/>
      <w:kern w:val="0"/>
      <w:sz w:val="24"/>
      <w:szCs w:val="22"/>
      <w:lang w:val="pt-BR" w:eastAsia="pt-BR" w:bidi="ar-SA"/>
    </w:rPr>
  </w:style>
  <w:style w:type="paragraph" w:styleId="Ttulo1">
    <w:name w:val="Heading 1"/>
    <w:next w:val="Normal"/>
    <w:link w:val="Ttulo1Char"/>
    <w:uiPriority w:val="9"/>
    <w:qFormat/>
    <w:pPr>
      <w:keepNext w:val="true"/>
      <w:keepLines/>
      <w:widowControl/>
      <w:suppressAutoHyphens w:val="true"/>
      <w:bidi w:val="0"/>
      <w:spacing w:lineRule="auto" w:line="259" w:before="0" w:after="96"/>
      <w:ind w:left="10" w:hanging="10"/>
      <w:jc w:val="left"/>
      <w:outlineLvl w:val="0"/>
    </w:pPr>
    <w:rPr>
      <w:rFonts w:ascii="Calibri" w:hAnsi="Calibri" w:eastAsia="Calibri" w:cs="Calibri"/>
      <w:b/>
      <w:color w:val="000000"/>
      <w:kern w:val="0"/>
      <w:sz w:val="24"/>
      <w:szCs w:val="22"/>
      <w:lang w:val="pt-BR" w:eastAsia="pt-BR" w:bidi="ar-SA"/>
    </w:rPr>
  </w:style>
  <w:style w:type="character" w:styleId="DefaultParagraphFont" w:default="1">
    <w:name w:val="Default Paragraph Font"/>
    <w:uiPriority w:val="1"/>
    <w:semiHidden/>
    <w:unhideWhenUsed/>
    <w:qFormat/>
    <w:rPr/>
  </w:style>
  <w:style w:type="character" w:styleId="Ttulo1Char" w:customStyle="1">
    <w:name w:val="Título 1 Char"/>
    <w:link w:val="Ttulo1"/>
    <w:qFormat/>
    <w:rPr>
      <w:rFonts w:ascii="Calibri" w:hAnsi="Calibri" w:eastAsia="Calibri" w:cs="Calibri"/>
      <w:b/>
      <w:color w:val="000000"/>
      <w:sz w:val="24"/>
    </w:rPr>
  </w:style>
  <w:style w:type="character" w:styleId="Annotationreference">
    <w:name w:val="annotation reference"/>
    <w:basedOn w:val="DefaultParagraphFont"/>
    <w:uiPriority w:val="99"/>
    <w:semiHidden/>
    <w:unhideWhenUsed/>
    <w:qFormat/>
    <w:rsid w:val="00773ff0"/>
    <w:rPr>
      <w:sz w:val="16"/>
      <w:szCs w:val="16"/>
    </w:rPr>
  </w:style>
  <w:style w:type="character" w:styleId="TextodecomentrioChar" w:customStyle="1">
    <w:name w:val="Texto de comentário Char"/>
    <w:basedOn w:val="DefaultParagraphFont"/>
    <w:link w:val="Textodecomentrio"/>
    <w:uiPriority w:val="99"/>
    <w:qFormat/>
    <w:rsid w:val="00773ff0"/>
    <w:rPr>
      <w:rFonts w:ascii="Calibri" w:hAnsi="Calibri" w:eastAsia="Calibri" w:cs="Calibri"/>
      <w:color w:val="000000"/>
      <w:sz w:val="20"/>
      <w:szCs w:val="20"/>
    </w:rPr>
  </w:style>
  <w:style w:type="character" w:styleId="AssuntodocomentrioChar" w:customStyle="1">
    <w:name w:val="Assunto do comentário Char"/>
    <w:basedOn w:val="TextodecomentrioChar"/>
    <w:link w:val="Assuntodocomentrio"/>
    <w:uiPriority w:val="99"/>
    <w:semiHidden/>
    <w:qFormat/>
    <w:rsid w:val="00773ff0"/>
    <w:rPr>
      <w:rFonts w:ascii="Calibri" w:hAnsi="Calibri" w:eastAsia="Calibri" w:cs="Calibri"/>
      <w:b/>
      <w:bCs/>
      <w:color w:val="000000"/>
      <w:sz w:val="20"/>
      <w:szCs w:val="20"/>
    </w:rPr>
  </w:style>
  <w:style w:type="character" w:styleId="TextodebaloChar" w:customStyle="1">
    <w:name w:val="Texto de balão Char"/>
    <w:basedOn w:val="DefaultParagraphFont"/>
    <w:link w:val="Textodebalo"/>
    <w:uiPriority w:val="99"/>
    <w:semiHidden/>
    <w:qFormat/>
    <w:rsid w:val="00773ff0"/>
    <w:rPr>
      <w:rFonts w:ascii="Segoe UI" w:hAnsi="Segoe UI" w:eastAsia="Calibri" w:cs="Segoe UI"/>
      <w:color w:val="000000"/>
      <w:sz w:val="18"/>
      <w:szCs w:val="18"/>
    </w:rPr>
  </w:style>
  <w:style w:type="character" w:styleId="Strong">
    <w:name w:val="Strong"/>
    <w:basedOn w:val="DefaultParagraphFont"/>
    <w:uiPriority w:val="22"/>
    <w:qFormat/>
    <w:rsid w:val="0049235e"/>
    <w:rPr>
      <w:b/>
      <w:bCs/>
    </w:rPr>
  </w:style>
  <w:style w:type="character" w:styleId="CabealhoChar" w:customStyle="1">
    <w:name w:val="Cabeçalho Char"/>
    <w:basedOn w:val="DefaultParagraphFont"/>
    <w:link w:val="Cabealho"/>
    <w:uiPriority w:val="99"/>
    <w:qFormat/>
    <w:rsid w:val="008e0577"/>
    <w:rPr>
      <w:rFonts w:ascii="Calibri" w:hAnsi="Calibri" w:eastAsia="Calibri" w:cs="Calibri"/>
      <w:color w:val="000000"/>
      <w:sz w:val="24"/>
    </w:rPr>
  </w:style>
  <w:style w:type="character" w:styleId="RodapChar" w:customStyle="1">
    <w:name w:val="Rodapé Char"/>
    <w:basedOn w:val="DefaultParagraphFont"/>
    <w:link w:val="Rodap"/>
    <w:uiPriority w:val="99"/>
    <w:qFormat/>
    <w:rsid w:val="008e0577"/>
    <w:rPr>
      <w:rFonts w:ascii="Calibri" w:hAnsi="Calibri" w:eastAsia="Calibri" w:cs="Calibri"/>
      <w:color w:val="000000"/>
      <w:sz w:val="24"/>
    </w:rPr>
  </w:style>
  <w:style w:type="character" w:styleId="LinkdaInternet" w:customStyle="1">
    <w:name w:val="Link da Internet"/>
    <w:basedOn w:val="DefaultParagraphFont"/>
    <w:uiPriority w:val="99"/>
    <w:semiHidden/>
    <w:unhideWhenUsed/>
    <w:rsid w:val="00695d0b"/>
    <w:rPr>
      <w:color w:val="0000FF"/>
      <w:u w:val="single"/>
    </w:rPr>
  </w:style>
  <w:style w:type="character" w:styleId="Numeraodelinhas">
    <w:name w:val="Numeração de linha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Cs w:val="24"/>
    </w:rPr>
  </w:style>
  <w:style w:type="paragraph" w:styleId="Annotationtext">
    <w:name w:val="annotation text"/>
    <w:basedOn w:val="Normal"/>
    <w:link w:val="TextodecomentrioChar"/>
    <w:uiPriority w:val="99"/>
    <w:unhideWhenUsed/>
    <w:qFormat/>
    <w:rsid w:val="00773ff0"/>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773ff0"/>
    <w:pPr/>
    <w:rPr>
      <w:b/>
      <w:bCs/>
    </w:rPr>
  </w:style>
  <w:style w:type="paragraph" w:styleId="BalloonText">
    <w:name w:val="Balloon Text"/>
    <w:basedOn w:val="Normal"/>
    <w:link w:val="TextodebaloChar"/>
    <w:uiPriority w:val="99"/>
    <w:semiHidden/>
    <w:unhideWhenUsed/>
    <w:qFormat/>
    <w:rsid w:val="00773ff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ab4b47"/>
    <w:pPr>
      <w:spacing w:lineRule="auto" w:line="259" w:before="0" w:after="160"/>
      <w:ind w:left="720" w:right="0" w:hanging="0"/>
      <w:contextualSpacing/>
      <w:jc w:val="left"/>
    </w:pPr>
    <w:rPr>
      <w:rFonts w:ascii="Calibri" w:hAnsi="Calibri" w:eastAsia="Calibri" w:cs="" w:asciiTheme="minorHAnsi" w:cstheme="minorBidi" w:eastAsiaTheme="minorHAnsi" w:hAnsiTheme="minorHAnsi"/>
      <w:color w:val="auto"/>
      <w:sz w:val="22"/>
      <w:lang w:eastAsia="en-US"/>
    </w:rPr>
  </w:style>
  <w:style w:type="paragraph" w:styleId="Default" w:customStyle="1">
    <w:name w:val="Default"/>
    <w:qFormat/>
    <w:rsid w:val="00e152bf"/>
    <w:pPr>
      <w:widowControl/>
      <w:suppressAutoHyphens w:val="true"/>
      <w:bidi w:val="0"/>
      <w:spacing w:before="0" w:after="0"/>
      <w:jc w:val="left"/>
    </w:pPr>
    <w:rPr>
      <w:rFonts w:ascii="Calibri" w:hAnsi="Calibri" w:eastAsia="Calibri" w:cs="Calibri" w:eastAsiaTheme="minorHAnsi"/>
      <w:color w:val="000000"/>
      <w:kern w:val="0"/>
      <w:sz w:val="24"/>
      <w:szCs w:val="24"/>
      <w:lang w:val="pt-BR" w:eastAsia="en-US" w:bidi="ar-SA"/>
    </w:rPr>
  </w:style>
  <w:style w:type="paragraph" w:styleId="Revision">
    <w:name w:val="Revision"/>
    <w:uiPriority w:val="99"/>
    <w:semiHidden/>
    <w:qFormat/>
    <w:rsid w:val="008b5404"/>
    <w:pPr>
      <w:widowControl/>
      <w:suppressAutoHyphens w:val="true"/>
      <w:bidi w:val="0"/>
      <w:spacing w:before="0" w:after="0"/>
      <w:jc w:val="left"/>
    </w:pPr>
    <w:rPr>
      <w:rFonts w:ascii="Calibri" w:hAnsi="Calibri" w:eastAsia="Calibri" w:cs="Calibri"/>
      <w:color w:val="000000"/>
      <w:kern w:val="0"/>
      <w:sz w:val="24"/>
      <w:szCs w:val="22"/>
      <w:lang w:val="pt-BR" w:eastAsia="pt-BR" w:bidi="ar-SA"/>
    </w:rPr>
  </w:style>
  <w:style w:type="paragraph" w:styleId="Textojustificadorecuoprimeiralinha" w:customStyle="1">
    <w:name w:val="texto_justificado_recuo_primeira_linha"/>
    <w:basedOn w:val="Normal"/>
    <w:qFormat/>
    <w:rsid w:val="00724e5a"/>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Ttuloa1" w:customStyle="1">
    <w:name w:val="ttuloa1"/>
    <w:basedOn w:val="Normal"/>
    <w:qFormat/>
    <w:rsid w:val="00bb47e8"/>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Ttuloa2" w:customStyle="1">
    <w:name w:val="ttuloa2"/>
    <w:basedOn w:val="Normal"/>
    <w:qFormat/>
    <w:rsid w:val="00bb47e8"/>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NormalWeb">
    <w:name w:val="Normal (Web)"/>
    <w:basedOn w:val="Normal"/>
    <w:uiPriority w:val="99"/>
    <w:unhideWhenUsed/>
    <w:qFormat/>
    <w:rsid w:val="00a365f6"/>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8e0577"/>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e0577"/>
    <w:pPr>
      <w:tabs>
        <w:tab w:val="clear" w:pos="708"/>
        <w:tab w:val="center" w:pos="4252" w:leader="none"/>
        <w:tab w:val="right" w:pos="8504" w:leader="none"/>
      </w:tabs>
      <w:spacing w:lineRule="auto" w:line="240" w:before="0" w:after="0"/>
    </w:pPr>
    <w:rPr/>
  </w:style>
  <w:style w:type="paragraph" w:styleId="Douparagraph" w:customStyle="1">
    <w:name w:val="dou-paragraph"/>
    <w:basedOn w:val="Normal"/>
    <w:qFormat/>
    <w:rsid w:val="001b1545"/>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Citacao" w:customStyle="1">
    <w:name w:val="citacao"/>
    <w:basedOn w:val="Normal"/>
    <w:qFormat/>
    <w:rsid w:val="00b62fa4"/>
    <w:pPr>
      <w:spacing w:lineRule="auto" w:line="240" w:beforeAutospacing="1" w:afterAutospacing="1"/>
      <w:ind w:left="0" w:right="0" w:hanging="0"/>
      <w:jc w:val="left"/>
    </w:pPr>
    <w:rPr>
      <w:rFonts w:ascii="Times New Roman" w:hAnsi="Times New Roman" w:eastAsia="Times New Roman" w:cs="Times New Roman"/>
      <w:color w:val="auto"/>
      <w:szCs w:val="24"/>
    </w:rPr>
  </w:style>
  <w:style w:type="paragraph" w:styleId="Textoprformatado" w:customStyle="1">
    <w:name w:val="Texto préformatado"/>
    <w:basedOn w:val="Normal"/>
    <w:qFormat/>
    <w:pPr>
      <w:spacing w:before="0" w:after="0"/>
    </w:pPr>
    <w:rPr>
      <w:rFonts w:ascii="Liberation Mono" w:hAnsi="Liberation Mono" w:eastAsia="Liberation Mono" w:cs="Liberation Mono"/>
      <w:sz w:val="20"/>
      <w:szCs w:val="20"/>
    </w:rPr>
  </w:style>
  <w:style w:type="paragraph" w:styleId="TableParagraph" w:customStyle="1">
    <w:name w:val="Table Paragraph"/>
    <w:basedOn w:val="Normal"/>
    <w:qFormat/>
    <w:rsid w:val="006d653b"/>
    <w:pPr>
      <w:spacing w:lineRule="auto" w:line="240"/>
    </w:pPr>
    <w:rPr>
      <w:rFonts w:ascii="Times New Roman" w:hAnsi="Times New Roman" w:eastAsia="Times New Roman" w:cs="Times New Roman"/>
      <w:lang w:val="pt-PT" w:eastAsia="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 w:type="table" w:styleId="Tabelacomgrade">
    <w:name w:val="Table Grid"/>
    <w:basedOn w:val="Tabelanormal"/>
    <w:uiPriority w:val="39"/>
    <w:rsid w:val="002054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1DB28BD8AB84E91741C485BD6A3D4" ma:contentTypeVersion="13" ma:contentTypeDescription="Create a new document." ma:contentTypeScope="" ma:versionID="a6a679fafa5d6dd18d9994d5e5f8caf0">
  <xsd:schema xmlns:xsd="http://www.w3.org/2001/XMLSchema" xmlns:xs="http://www.w3.org/2001/XMLSchema" xmlns:p="http://schemas.microsoft.com/office/2006/metadata/properties" xmlns:ns3="8f5959ed-b671-401e-9613-ab00ff342ea9" xmlns:ns4="f57fc88e-fe21-4d37-80eb-1174f6519543" targetNamespace="http://schemas.microsoft.com/office/2006/metadata/properties" ma:root="true" ma:fieldsID="de66a6579efb13e6b42f340dbdfa6a79" ns3:_="" ns4:_="">
    <xsd:import namespace="8f5959ed-b671-401e-9613-ab00ff342ea9"/>
    <xsd:import namespace="f57fc88e-fe21-4d37-80eb-1174f6519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959ed-b671-401e-9613-ab00ff34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fc88e-fe21-4d37-80eb-1174f65195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6593-6CA5-4F39-BA0C-231BFB364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0FFA6-6B17-4D19-B41A-FF043453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959ed-b671-401e-9613-ab00ff342ea9"/>
    <ds:schemaRef ds:uri="f57fc88e-fe21-4d37-80eb-1174f651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BCD76-9DE8-4BFC-94C1-21CEAA97C385}">
  <ds:schemaRefs>
    <ds:schemaRef ds:uri="http://schemas.microsoft.com/sharepoint/v3/contenttype/forms"/>
  </ds:schemaRefs>
</ds:datastoreItem>
</file>

<file path=customXml/itemProps4.xml><?xml version="1.0" encoding="utf-8"?>
<ds:datastoreItem xmlns:ds="http://schemas.openxmlformats.org/officeDocument/2006/customXml" ds:itemID="{6323E871-AAAA-448C-869A-3F30B5ED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LibreOffice/7.1.5.2$Windows_X86_64 LibreOffice_project/85f04e9f809797b8199d13c421bd8a2b025d52b5</Application>
  <AppVersion>15.0000</AppVersion>
  <Pages>5</Pages>
  <Words>1363</Words>
  <Characters>7559</Characters>
  <CharactersWithSpaces>8874</CharactersWithSpaces>
  <Paragraphs>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2022-05-17T18:11:00Z</dcterms:created>
  <dc:creator>Cleber Fernando de Almeida</dc:creator>
  <dc:description/>
  <dc:language>pt-BR</dc:language>
  <cp:lastModifiedBy/>
  <cp:lastPrinted>2020-10-22T14:55:00Z</cp:lastPrinted>
  <dcterms:modified xsi:type="dcterms:W3CDTF">2023-08-15T17:59:13Z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ies>
</file>